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A6BE7">
      <w:pPr>
        <w:keepNext w:val="0"/>
        <w:keepLines w:val="0"/>
        <w:pageBreakBefore w:val="0"/>
        <w:widowControl w:val="0"/>
        <w:kinsoku/>
        <w:wordWrap/>
        <w:overflowPunct/>
        <w:topLinePunct w:val="0"/>
        <w:autoSpaceDE/>
        <w:autoSpaceDN/>
        <w:bidi w:val="0"/>
        <w:spacing w:line="578" w:lineRule="exact"/>
        <w:ind w:left="0" w:leftChars="0"/>
        <w:textAlignment w:val="auto"/>
        <w:rPr>
          <w:rFonts w:hint="eastAsia" w:ascii="黑体" w:hAnsi="黑体" w:eastAsia="黑体" w:cs="黑体"/>
          <w:highlight w:val="none"/>
          <w:lang w:val="en-US" w:eastAsia="zh-CN"/>
        </w:rPr>
      </w:pPr>
      <w:r>
        <w:rPr>
          <w:rFonts w:hint="eastAsia" w:ascii="黑体" w:hAnsi="黑体" w:eastAsia="黑体" w:cs="黑体"/>
          <w:highlight w:val="none"/>
        </w:rPr>
        <w:t>附件</w:t>
      </w:r>
      <w:r>
        <w:rPr>
          <w:rFonts w:hint="eastAsia" w:ascii="黑体" w:hAnsi="黑体" w:eastAsia="黑体" w:cs="黑体"/>
          <w:highlight w:val="none"/>
          <w:lang w:val="en-US" w:eastAsia="zh-CN"/>
        </w:rPr>
        <w:t>5</w:t>
      </w:r>
    </w:p>
    <w:p w14:paraId="3AD6331B">
      <w:pPr>
        <w:keepNext w:val="0"/>
        <w:keepLines w:val="0"/>
        <w:pageBreakBefore w:val="0"/>
        <w:widowControl w:val="0"/>
        <w:kinsoku/>
        <w:wordWrap/>
        <w:overflowPunct/>
        <w:topLinePunct w:val="0"/>
        <w:autoSpaceDE/>
        <w:autoSpaceDN/>
        <w:bidi w:val="0"/>
        <w:adjustRightInd w:val="0"/>
        <w:snapToGrid w:val="0"/>
        <w:spacing w:line="570" w:lineRule="exact"/>
        <w:jc w:val="both"/>
        <w:textAlignment w:val="auto"/>
        <w:rPr>
          <w:rFonts w:hint="eastAsia" w:ascii="方正小标宋_GBK" w:hAnsi="方正小标宋_GBK" w:eastAsia="方正小标宋_GBK" w:cs="方正小标宋_GBK"/>
          <w:b w:val="0"/>
          <w:bCs w:val="0"/>
          <w:sz w:val="40"/>
          <w:szCs w:val="40"/>
          <w:lang w:val="en-US" w:eastAsia="zh-CN"/>
        </w:rPr>
      </w:pPr>
    </w:p>
    <w:p w14:paraId="2F2EBBBB">
      <w:pPr>
        <w:jc w:val="center"/>
        <w:rPr>
          <w:rFonts w:hint="eastAsia" w:ascii="方正小标宋_GBK" w:eastAsia="方正小标宋_GBK"/>
          <w:sz w:val="36"/>
          <w:szCs w:val="36"/>
        </w:rPr>
      </w:pPr>
      <w:r>
        <w:rPr>
          <w:rFonts w:hint="eastAsia" w:ascii="方正小标宋_GBK" w:eastAsia="方正小标宋_GBK"/>
          <w:sz w:val="36"/>
          <w:szCs w:val="36"/>
        </w:rPr>
        <w:t>防灾减灾工作经费项目绩效评估报告</w:t>
      </w:r>
    </w:p>
    <w:p w14:paraId="474912D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default" w:ascii="黑体" w:hAnsi="宋体" w:eastAsia="黑体"/>
          <w:highlight w:val="none"/>
          <w:lang w:val="en-US" w:eastAsia="zh-CN"/>
        </w:rPr>
      </w:pPr>
    </w:p>
    <w:p w14:paraId="04E8FE21">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4CE6F2B7">
      <w:pPr>
        <w:keepNext w:val="0"/>
        <w:keepLines w:val="0"/>
        <w:pageBreakBefore w:val="0"/>
        <w:widowControl/>
        <w:numPr>
          <w:ilvl w:val="0"/>
          <w:numId w:val="0"/>
        </w:numPr>
        <w:kinsoku/>
        <w:wordWrap/>
        <w:overflowPunct/>
        <w:topLinePunct w:val="0"/>
        <w:autoSpaceDE/>
        <w:autoSpaceDN/>
        <w:bidi w:val="0"/>
        <w:adjustRightInd w:val="0"/>
        <w:snapToGrid w:val="0"/>
        <w:spacing w:line="570" w:lineRule="exact"/>
        <w:ind w:left="0" w:leftChars="0" w:firstLine="643" w:firstLineChars="200"/>
        <w:contextualSpacing/>
        <w:jc w:val="left"/>
        <w:textAlignment w:val="auto"/>
        <w:rPr>
          <w:rFonts w:ascii="仿宋_GB2312" w:eastAsia="仿宋_GB2312"/>
          <w:sz w:val="32"/>
          <w:szCs w:val="32"/>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eastAsia="仿宋_GB2312"/>
          <w:sz w:val="32"/>
          <w:szCs w:val="32"/>
        </w:rPr>
        <w:t>以习近平新时代中国特色社会主义思想为指导，全面贯彻党的二十大精神，坚持人民至上、生命至上，坚持安全第一、预防为主，坚持标本兼治、重在治本，落细落实安全生产措施。围绕破解我州林草行业当前安全生产领域瓶颈性、根源性、本质性问题，聚焦行业领域重大安全风险，实施安全生产治本攻坚行动，着力在规范标准、制度机制上补短板，在责任落实、安全文化上夯基础，在安全科技、安全工程上促提升，织密织牢安全防范责任网络， 切实消除安全监管死角盲区，采取有力措施整治发现的突出风险隐患，全力防范化解重大安全风险，进一步推动公共安全治理模式向事前预防转型，以新安全格局保障新发展格局，切实维护人民群众生命财产安全和生态安全。</w:t>
      </w:r>
    </w:p>
    <w:p w14:paraId="706B51F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eastAsia="仿宋_GB2312"/>
          <w:sz w:val="32"/>
          <w:szCs w:val="32"/>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项目年度目标：</w:t>
      </w:r>
      <w:r>
        <w:rPr>
          <w:rFonts w:hint="default" w:ascii="仿宋_GB2312"/>
          <w:sz w:val="32"/>
          <w:szCs w:val="32"/>
          <w:lang w:val="en-US" w:eastAsia="zh-CN"/>
        </w:rPr>
        <w:t>开展森林草原防灭火</w:t>
      </w:r>
      <w:r>
        <w:rPr>
          <w:rFonts w:hint="eastAsia" w:ascii="仿宋_GB2312"/>
          <w:sz w:val="32"/>
          <w:szCs w:val="32"/>
          <w:lang w:val="en-US" w:eastAsia="zh-CN"/>
        </w:rPr>
        <w:t>、防灾减灾</w:t>
      </w:r>
      <w:r>
        <w:rPr>
          <w:rFonts w:hint="default" w:ascii="仿宋_GB2312"/>
          <w:sz w:val="32"/>
          <w:szCs w:val="32"/>
          <w:lang w:val="en-US" w:eastAsia="zh-CN"/>
        </w:rPr>
        <w:t>工作检查，督促</w:t>
      </w:r>
      <w:r>
        <w:rPr>
          <w:rFonts w:hint="eastAsia" w:ascii="仿宋_GB2312"/>
          <w:sz w:val="32"/>
          <w:szCs w:val="32"/>
          <w:lang w:val="en-US" w:eastAsia="zh-CN"/>
        </w:rPr>
        <w:t>13</w:t>
      </w:r>
      <w:r>
        <w:rPr>
          <w:rFonts w:hint="default" w:ascii="仿宋_GB2312"/>
          <w:sz w:val="32"/>
          <w:szCs w:val="32"/>
          <w:lang w:val="en-US" w:eastAsia="zh-CN"/>
        </w:rPr>
        <w:t>个</w:t>
      </w:r>
      <w:r>
        <w:rPr>
          <w:rFonts w:hint="eastAsia" w:ascii="仿宋_GB2312"/>
          <w:sz w:val="32"/>
          <w:szCs w:val="32"/>
          <w:lang w:val="en-US" w:eastAsia="zh-CN"/>
        </w:rPr>
        <w:t>县市林草部门</w:t>
      </w:r>
      <w:r>
        <w:rPr>
          <w:rFonts w:hint="default" w:ascii="仿宋_GB2312"/>
          <w:sz w:val="32"/>
          <w:szCs w:val="32"/>
          <w:lang w:val="en-US" w:eastAsia="zh-CN"/>
        </w:rPr>
        <w:t>开展防灭火宣传</w:t>
      </w:r>
      <w:r>
        <w:rPr>
          <w:rFonts w:hint="eastAsia" w:ascii="仿宋_GB2312"/>
          <w:sz w:val="32"/>
          <w:szCs w:val="32"/>
          <w:lang w:val="en-US" w:eastAsia="zh-CN"/>
        </w:rPr>
        <w:t>、</w:t>
      </w:r>
      <w:r>
        <w:rPr>
          <w:rFonts w:hint="default" w:ascii="仿宋_GB2312"/>
          <w:sz w:val="32"/>
          <w:szCs w:val="32"/>
          <w:lang w:val="en-US" w:eastAsia="zh-CN"/>
        </w:rPr>
        <w:t>火源管控、应急演练等工作，开展防火项目验收，确保基础建设和物资保证顺利进行，开展全州森林草原防火工作督查检查及项目实施，全州林草突发性自然灾害相关工作经费</w:t>
      </w:r>
      <w:r>
        <w:rPr>
          <w:rFonts w:hint="eastAsia" w:ascii="仿宋_GB2312"/>
          <w:sz w:val="32"/>
          <w:szCs w:val="32"/>
          <w:lang w:val="en-US" w:eastAsia="zh-CN"/>
        </w:rPr>
        <w:t>。</w:t>
      </w:r>
      <w:r>
        <w:rPr>
          <w:rFonts w:hint="eastAsia" w:ascii="仿宋_GB2312" w:eastAsia="仿宋_GB2312"/>
          <w:sz w:val="32"/>
          <w:szCs w:val="32"/>
        </w:rPr>
        <w:t>通过</w:t>
      </w:r>
      <w:r>
        <w:rPr>
          <w:rFonts w:hint="eastAsia" w:ascii="仿宋_GB2312"/>
          <w:sz w:val="32"/>
          <w:szCs w:val="32"/>
          <w:lang w:val="en-US" w:eastAsia="zh-CN"/>
        </w:rPr>
        <w:t>全</w:t>
      </w:r>
      <w:r>
        <w:rPr>
          <w:rFonts w:hint="eastAsia" w:ascii="仿宋_GB2312" w:eastAsia="仿宋_GB2312"/>
          <w:sz w:val="32"/>
          <w:szCs w:val="32"/>
        </w:rPr>
        <w:t>州林草行业安全生产治本攻坚，全州林草行业安全生产法治化、 规范化水平明显提高，各单位统筹发展和安全的理念进一步强化，坚守安全红线的意识更加强烈，重大安全风险得到有效防范化解，全州林草行业安全生产形势持续稳定向好。2024年底前基本消除2023年及以前排查发现的重大事故隐患存量；2025年底前有效控制重大事故隐患增量</w:t>
      </w:r>
      <w:r>
        <w:rPr>
          <w:rFonts w:hint="eastAsia" w:ascii="仿宋_GB2312"/>
          <w:sz w:val="32"/>
          <w:szCs w:val="32"/>
          <w:lang w:eastAsia="zh-CN"/>
        </w:rPr>
        <w:t>；</w:t>
      </w:r>
      <w:r>
        <w:rPr>
          <w:rFonts w:hint="eastAsia" w:ascii="仿宋_GB2312" w:eastAsia="仿宋_GB2312"/>
          <w:sz w:val="32"/>
          <w:szCs w:val="32"/>
        </w:rPr>
        <w:t>2026年底前形成重大事故隐患动态清零常态化机制。针对重大事故风险隐患的一批“人防、技防、工程防、管理防”措施落地见效，安全生产水平大幅提升。实现“杜绝重特大事故、控制较大事故、减少一般事故”。</w:t>
      </w:r>
    </w:p>
    <w:p w14:paraId="4B0D2417">
      <w:pPr>
        <w:pStyle w:val="2"/>
        <w:spacing w:line="360" w:lineRule="auto"/>
        <w:ind w:left="0" w:firstLine="643" w:firstLineChars="200"/>
        <w:rPr>
          <w:rFonts w:hint="eastAsia" w:ascii="仿宋_GB2312" w:hAnsi="Times New Roman" w:eastAsia="仿宋_GB2312" w:cs="Times New Roman"/>
          <w:kern w:val="2"/>
          <w:position w:val="0"/>
          <w:sz w:val="32"/>
          <w:szCs w:val="32"/>
          <w:lang w:val="zh-CN" w:eastAsia="zh-CN" w:bidi="ar-SA"/>
        </w:rPr>
      </w:pPr>
      <w:r>
        <w:rPr>
          <w:rFonts w:hint="eastAsia" w:ascii="仿宋_GB2312" w:eastAsia="仿宋_GB2312"/>
          <w:b/>
          <w:bCs/>
          <w:sz w:val="32"/>
          <w:szCs w:val="32"/>
          <w:lang w:val="zh-CN" w:eastAsia="zh-CN"/>
        </w:rPr>
        <w:t>（三）</w:t>
      </w:r>
      <w:r>
        <w:rPr>
          <w:rFonts w:hint="default" w:ascii="仿宋_GB2312" w:eastAsia="仿宋_GB2312"/>
          <w:b/>
          <w:bCs/>
          <w:sz w:val="32"/>
          <w:szCs w:val="32"/>
          <w:lang w:val="en-US" w:eastAsia="zh-CN"/>
        </w:rPr>
        <w:t>预算安排及分配管理</w:t>
      </w:r>
      <w:r>
        <w:rPr>
          <w:rFonts w:hint="eastAsia" w:ascii="仿宋_GB2312" w:eastAsia="仿宋_GB2312"/>
          <w:b/>
          <w:bCs/>
          <w:sz w:val="32"/>
          <w:szCs w:val="32"/>
          <w:lang w:val="zh-CN" w:eastAsia="zh-CN"/>
        </w:rPr>
        <w:t>。</w:t>
      </w:r>
      <w:r>
        <w:rPr>
          <w:rFonts w:hint="default" w:ascii="仿宋_GB2312" w:hAnsi="Times New Roman" w:eastAsia="仿宋_GB2312" w:cs="Times New Roman"/>
          <w:kern w:val="2"/>
          <w:position w:val="0"/>
          <w:sz w:val="32"/>
          <w:szCs w:val="32"/>
          <w:lang w:val="en-US" w:eastAsia="zh-CN" w:bidi="ar-SA"/>
        </w:rPr>
        <w:t>开展森林草原防灭火</w:t>
      </w:r>
      <w:r>
        <w:rPr>
          <w:rFonts w:hint="eastAsia" w:ascii="仿宋_GB2312" w:hAnsi="Times New Roman" w:eastAsia="仿宋_GB2312" w:cs="Times New Roman"/>
          <w:kern w:val="2"/>
          <w:position w:val="0"/>
          <w:sz w:val="32"/>
          <w:szCs w:val="32"/>
          <w:lang w:val="en-US" w:eastAsia="zh-CN" w:bidi="ar-SA"/>
        </w:rPr>
        <w:t>、防灾减灾</w:t>
      </w:r>
      <w:r>
        <w:rPr>
          <w:rFonts w:hint="default" w:ascii="仿宋_GB2312" w:hAnsi="Times New Roman" w:eastAsia="仿宋_GB2312" w:cs="Times New Roman"/>
          <w:kern w:val="2"/>
          <w:position w:val="0"/>
          <w:sz w:val="32"/>
          <w:szCs w:val="32"/>
          <w:lang w:val="en-US" w:eastAsia="zh-CN" w:bidi="ar-SA"/>
        </w:rPr>
        <w:t>工作检查，督促</w:t>
      </w:r>
      <w:r>
        <w:rPr>
          <w:rFonts w:hint="eastAsia" w:ascii="仿宋_GB2312" w:eastAsia="仿宋_GB2312" w:cs="Times New Roman"/>
          <w:kern w:val="2"/>
          <w:position w:val="0"/>
          <w:sz w:val="32"/>
          <w:szCs w:val="32"/>
          <w:lang w:val="en-US" w:eastAsia="zh-CN" w:bidi="ar-SA"/>
        </w:rPr>
        <w:t>13各县市林草部门</w:t>
      </w:r>
      <w:r>
        <w:rPr>
          <w:rFonts w:hint="default" w:ascii="仿宋_GB2312" w:hAnsi="Times New Roman" w:eastAsia="仿宋_GB2312" w:cs="Times New Roman"/>
          <w:kern w:val="2"/>
          <w:position w:val="0"/>
          <w:sz w:val="32"/>
          <w:szCs w:val="32"/>
          <w:lang w:val="en-US" w:eastAsia="zh-CN" w:bidi="ar-SA"/>
        </w:rPr>
        <w:t>开展防灭火宣传、火源管控、应急演练等工作，开展防火项目验收，确保基础建设和物资保证顺利进行，开展全州森林草原防火工作督查检查及项目实施，全州林草突发性自然灾害相关工作经费。</w:t>
      </w:r>
    </w:p>
    <w:p w14:paraId="2E5F834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5C7AA93C">
      <w:pPr>
        <w:keepNext w:val="0"/>
        <w:keepLines w:val="0"/>
        <w:pageBreakBefore w:val="0"/>
        <w:widowControl/>
        <w:numPr>
          <w:ilvl w:val="0"/>
          <w:numId w:val="0"/>
        </w:numPr>
        <w:kinsoku/>
        <w:wordWrap/>
        <w:overflowPunct/>
        <w:topLinePunct w:val="0"/>
        <w:autoSpaceDE/>
        <w:autoSpaceDN/>
        <w:bidi w:val="0"/>
        <w:adjustRightInd w:val="0"/>
        <w:snapToGrid w:val="0"/>
        <w:spacing w:line="570" w:lineRule="exact"/>
        <w:ind w:left="0" w:leftChars="0" w:firstLine="643" w:firstLineChars="200"/>
        <w:contextualSpacing/>
        <w:jc w:val="left"/>
        <w:textAlignment w:val="auto"/>
        <w:rPr>
          <w:rFonts w:eastAsia="仿宋_GB2312" w:cs="Times New Roman"/>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Cs w:val="32"/>
        </w:rPr>
        <w:t>通过</w:t>
      </w:r>
      <w:r>
        <w:rPr>
          <w:rFonts w:hint="eastAsia" w:cs="Times New Roman"/>
          <w:szCs w:val="32"/>
          <w:lang w:eastAsia="zh-CN"/>
        </w:rPr>
        <w:t>项目</w:t>
      </w:r>
      <w:r>
        <w:rPr>
          <w:rFonts w:hint="eastAsia" w:eastAsia="仿宋_GB2312" w:cs="Times New Roman"/>
          <w:szCs w:val="32"/>
        </w:rPr>
        <w:t>绩效</w:t>
      </w:r>
      <w:r>
        <w:rPr>
          <w:rFonts w:hint="eastAsia" w:cs="Times New Roman"/>
          <w:szCs w:val="32"/>
          <w:lang w:eastAsia="zh-CN"/>
        </w:rPr>
        <w:t>自评实现了项目绩效完成情况的自我梳理，对绩效完成情况做到心中有数，好的方面继续发扬，不足的方面后续加以改进。</w:t>
      </w:r>
    </w:p>
    <w:p w14:paraId="1D47A79E">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eastAsia" w:cs="Times New Roman"/>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仿宋_GB2312" w:hAnsi="仿宋_GB2312" w:eastAsia="仿宋_GB2312" w:cs="仿宋_GB2312"/>
          <w:b w:val="0"/>
          <w:bCs/>
          <w:color w:val="auto"/>
          <w:sz w:val="32"/>
          <w:szCs w:val="32"/>
          <w:highlight w:val="none"/>
          <w:u w:val="none"/>
          <w:lang w:val="en-US" w:eastAsia="zh-CN"/>
        </w:rPr>
        <w:t>严格</w:t>
      </w:r>
      <w:r>
        <w:rPr>
          <w:rFonts w:hint="eastAsia" w:eastAsia="仿宋_GB2312" w:cs="Times New Roman"/>
          <w:szCs w:val="32"/>
        </w:rPr>
        <w:t>按照绩效评价指标体系，对资金支出使用全过程及其实施效果进行综合评价和判断</w:t>
      </w:r>
      <w:r>
        <w:rPr>
          <w:rFonts w:hint="eastAsia" w:eastAsia="仿宋_GB2312" w:cs="Times New Roman"/>
          <w:szCs w:val="32"/>
          <w:lang w:eastAsia="zh-CN"/>
        </w:rPr>
        <w:t>。</w:t>
      </w:r>
    </w:p>
    <w:p w14:paraId="5142B039">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Cs w:val="32"/>
          <w:lang w:val="en-US" w:eastAsia="zh-CN"/>
        </w:rPr>
        <w:t>13个县（市）</w:t>
      </w:r>
    </w:p>
    <w:p w14:paraId="3E35F63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cs="仿宋_GB2312"/>
          <w:color w:val="auto"/>
          <w:highlight w:val="none"/>
          <w:lang w:val="zh-CN"/>
        </w:rPr>
      </w:pPr>
      <w:r>
        <w:rPr>
          <w:rFonts w:hint="eastAsia" w:ascii="楷体_GB2312" w:hAnsi="宋体" w:eastAsia="楷体_GB2312"/>
          <w:b/>
          <w:color w:val="auto"/>
          <w:sz w:val="32"/>
          <w:szCs w:val="32"/>
          <w:highlight w:val="none"/>
          <w:u w:val="none"/>
          <w:lang w:val="zh-CN"/>
        </w:rPr>
        <w:t>（四）评价方法。</w:t>
      </w:r>
      <w:r>
        <w:rPr>
          <w:rFonts w:ascii="仿宋_GB2312" w:eastAsia="仿宋_GB2312" w:cs="仿宋_GB2312"/>
          <w:color w:val="auto"/>
          <w:highlight w:val="none"/>
          <w:lang w:val="zh-CN"/>
        </w:rPr>
        <w:t>项目采取自评</w:t>
      </w:r>
      <w:r>
        <w:rPr>
          <w:rFonts w:hint="eastAsia" w:ascii="仿宋_GB2312" w:cs="仿宋_GB2312"/>
          <w:color w:val="auto"/>
          <w:highlight w:val="none"/>
          <w:lang w:val="zh-CN"/>
        </w:rPr>
        <w:t>的</w:t>
      </w:r>
      <w:r>
        <w:rPr>
          <w:rFonts w:ascii="仿宋_GB2312" w:eastAsia="仿宋_GB2312" w:cs="仿宋_GB2312"/>
          <w:color w:val="auto"/>
          <w:highlight w:val="none"/>
          <w:lang w:val="zh-CN"/>
        </w:rPr>
        <w:t>方式，结合评价内容，做到有计划</w:t>
      </w:r>
      <w:r>
        <w:rPr>
          <w:rFonts w:hint="eastAsia" w:ascii="仿宋_GB2312" w:eastAsia="仿宋_GB2312" w:cs="仿宋_GB2312"/>
          <w:color w:val="auto"/>
          <w:highlight w:val="none"/>
          <w:lang w:val="zh-CN"/>
        </w:rPr>
        <w:t>、</w:t>
      </w:r>
      <w:r>
        <w:rPr>
          <w:rFonts w:ascii="仿宋_GB2312" w:eastAsia="仿宋_GB2312" w:cs="仿宋_GB2312"/>
          <w:color w:val="auto"/>
          <w:highlight w:val="none"/>
          <w:lang w:val="zh-CN"/>
        </w:rPr>
        <w:t>有安排，扎实开展本次自评工作。按照项目支出绩效评价指标体系，对</w:t>
      </w:r>
      <w:r>
        <w:rPr>
          <w:rFonts w:hint="eastAsia" w:ascii="仿宋_GB2312" w:cs="仿宋_GB2312"/>
          <w:color w:val="auto"/>
          <w:highlight w:val="none"/>
          <w:lang w:val="en-US" w:eastAsia="zh-CN"/>
        </w:rPr>
        <w:t>建设</w:t>
      </w:r>
      <w:r>
        <w:rPr>
          <w:rFonts w:ascii="仿宋_GB2312" w:eastAsia="仿宋_GB2312" w:cs="仿宋_GB2312"/>
          <w:color w:val="auto"/>
          <w:highlight w:val="none"/>
          <w:lang w:val="zh-CN"/>
        </w:rPr>
        <w:t>内容、实施情况、资金兑现、财务管理、社会效益等做出自我评价</w:t>
      </w:r>
      <w:r>
        <w:rPr>
          <w:rFonts w:hint="eastAsia" w:ascii="仿宋_GB2312" w:cs="仿宋_GB2312"/>
          <w:color w:val="auto"/>
          <w:highlight w:val="none"/>
          <w:lang w:val="zh-CN"/>
        </w:rPr>
        <w:t>。</w:t>
      </w:r>
    </w:p>
    <w:p w14:paraId="6306808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hAnsi="仿宋_GB2312" w:cs="仿宋_GB2312"/>
          <w:b w:val="0"/>
          <w:bCs/>
          <w:color w:val="auto"/>
          <w:sz w:val="32"/>
          <w:szCs w:val="32"/>
          <w:highlight w:val="none"/>
          <w:u w:val="none"/>
          <w:lang w:val="en-US" w:eastAsia="zh-CN"/>
        </w:rPr>
        <w:t>评价组人员构成和职责分工</w:t>
      </w:r>
      <w:r>
        <w:rPr>
          <w:rFonts w:ascii="仿宋_GB2312" w:eastAsia="仿宋_GB2312" w:cs="仿宋_GB2312"/>
          <w:color w:val="auto"/>
          <w:highlight w:val="none"/>
          <w:lang w:val="zh-CN"/>
        </w:rPr>
        <w:t>。</w:t>
      </w:r>
    </w:p>
    <w:p w14:paraId="7C2369D4">
      <w:pPr>
        <w:keepNext w:val="0"/>
        <w:keepLines w:val="0"/>
        <w:pageBreakBefore w:val="0"/>
        <w:kinsoku/>
        <w:wordWrap/>
        <w:overflowPunct/>
        <w:topLinePunct w:val="0"/>
        <w:autoSpaceDE/>
        <w:autoSpaceDN/>
        <w:bidi w:val="0"/>
        <w:adjustRightInd w:val="0"/>
        <w:snapToGrid w:val="0"/>
        <w:spacing w:line="57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2EEE0DC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eastAsia="仿宋_GB2312" w:cs="仿宋_GB2312"/>
          <w:color w:val="auto"/>
          <w:highlight w:val="none"/>
          <w:lang w:val="en-US" w:eastAsia="zh-CN"/>
        </w:rPr>
      </w:pPr>
      <w:r>
        <w:rPr>
          <w:rFonts w:hint="default" w:ascii="仿宋_GB2312" w:eastAsia="仿宋_GB2312" w:cs="仿宋_GB2312"/>
          <w:color w:val="auto"/>
          <w:highlight w:val="none"/>
          <w:lang w:val="zh-CN" w:eastAsia="zh-CN"/>
        </w:rPr>
        <w:t>根据</w:t>
      </w:r>
      <w:r>
        <w:rPr>
          <w:rFonts w:hint="eastAsia" w:ascii="仿宋_GB2312" w:eastAsia="仿宋_GB2312" w:cs="仿宋_GB2312"/>
          <w:color w:val="auto"/>
          <w:highlight w:val="none"/>
          <w:lang w:val="zh-CN" w:eastAsia="zh-CN"/>
        </w:rPr>
        <w:t>项目</w:t>
      </w:r>
      <w:r>
        <w:rPr>
          <w:rFonts w:hint="default" w:ascii="仿宋_GB2312" w:eastAsia="仿宋_GB2312" w:cs="仿宋_GB2312"/>
          <w:color w:val="auto"/>
          <w:highlight w:val="none"/>
          <w:lang w:val="zh-CN" w:eastAsia="zh-CN"/>
        </w:rPr>
        <w:t>预算绩效评价指标体系“</w:t>
      </w:r>
      <w:r>
        <w:rPr>
          <w:rFonts w:hint="eastAsia" w:ascii="仿宋_GB2312" w:eastAsia="仿宋_GB2312" w:cs="仿宋_GB2312"/>
          <w:color w:val="auto"/>
          <w:highlight w:val="none"/>
          <w:lang w:val="zh-CN" w:eastAsia="zh-CN"/>
        </w:rPr>
        <w:t>通用指标</w:t>
      </w:r>
      <w:r>
        <w:rPr>
          <w:rFonts w:hint="default" w:ascii="仿宋_GB2312" w:eastAsia="仿宋_GB2312" w:cs="仿宋_GB2312"/>
          <w:color w:val="auto"/>
          <w:highlight w:val="none"/>
          <w:lang w:val="zh-CN" w:eastAsia="zh-CN"/>
        </w:rPr>
        <w:t>”</w:t>
      </w:r>
      <w:r>
        <w:rPr>
          <w:rFonts w:hint="eastAsia" w:ascii="仿宋_GB2312" w:eastAsia="仿宋_GB2312" w:cs="仿宋_GB2312"/>
          <w:color w:val="auto"/>
          <w:highlight w:val="none"/>
          <w:lang w:val="zh-CN" w:eastAsia="zh-CN"/>
        </w:rPr>
        <w:t>“专用指标”“个性指标”</w:t>
      </w:r>
      <w:r>
        <w:rPr>
          <w:rFonts w:hint="default" w:ascii="仿宋_GB2312" w:eastAsia="仿宋_GB2312" w:cs="仿宋_GB2312"/>
          <w:color w:val="auto"/>
          <w:highlight w:val="none"/>
          <w:lang w:val="zh-CN" w:eastAsia="zh-CN"/>
        </w:rPr>
        <w:t>涉及</w:t>
      </w:r>
      <w:r>
        <w:rPr>
          <w:rFonts w:hint="eastAsia" w:ascii="仿宋_GB2312" w:eastAsia="仿宋_GB2312" w:cs="仿宋_GB2312"/>
          <w:color w:val="auto"/>
          <w:highlight w:val="none"/>
          <w:lang w:val="zh-CN" w:eastAsia="zh-CN"/>
        </w:rPr>
        <w:t>二、三级</w:t>
      </w:r>
      <w:r>
        <w:rPr>
          <w:rFonts w:hint="default" w:ascii="仿宋_GB2312" w:eastAsia="仿宋_GB2312" w:cs="仿宋_GB2312"/>
          <w:color w:val="auto"/>
          <w:highlight w:val="none"/>
          <w:lang w:val="zh-CN" w:eastAsia="zh-CN"/>
        </w:rPr>
        <w:t>指标进行</w:t>
      </w:r>
      <w:r>
        <w:rPr>
          <w:rFonts w:hint="eastAsia" w:ascii="仿宋_GB2312" w:eastAsia="仿宋_GB2312" w:cs="仿宋_GB2312"/>
          <w:color w:val="auto"/>
          <w:highlight w:val="none"/>
          <w:lang w:val="zh-CN" w:eastAsia="zh-CN"/>
        </w:rPr>
        <w:t>逐项</w:t>
      </w:r>
      <w:r>
        <w:rPr>
          <w:rFonts w:hint="default" w:ascii="仿宋_GB2312" w:eastAsia="仿宋_GB2312" w:cs="仿宋_GB2312"/>
          <w:color w:val="auto"/>
          <w:highlight w:val="none"/>
          <w:lang w:val="zh-CN" w:eastAsia="zh-CN"/>
        </w:rPr>
        <w:t>绩效分析</w:t>
      </w:r>
      <w:r>
        <w:rPr>
          <w:rFonts w:hint="eastAsia" w:ascii="仿宋_GB2312" w:eastAsia="仿宋_GB2312" w:cs="仿宋_GB2312"/>
          <w:color w:val="auto"/>
          <w:highlight w:val="none"/>
          <w:lang w:val="en-US" w:eastAsia="zh-CN"/>
        </w:rPr>
        <w:t>进行</w:t>
      </w:r>
      <w:r>
        <w:rPr>
          <w:rFonts w:hint="eastAsia" w:ascii="仿宋_GB2312" w:eastAsia="仿宋_GB2312" w:cs="仿宋_GB2312"/>
          <w:color w:val="auto"/>
          <w:highlight w:val="none"/>
          <w:lang w:val="zh-CN" w:eastAsia="zh-CN"/>
        </w:rPr>
        <w:t>评分</w:t>
      </w:r>
      <w:r>
        <w:rPr>
          <w:rFonts w:hint="eastAsia" w:ascii="仿宋_GB2312" w:eastAsia="仿宋_GB2312" w:cs="仿宋_GB2312"/>
          <w:color w:val="auto"/>
          <w:highlight w:val="none"/>
          <w:lang w:val="en-US" w:eastAsia="zh-CN"/>
        </w:rPr>
        <w:t>。</w:t>
      </w:r>
    </w:p>
    <w:p w14:paraId="4665E478">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1D4D3942">
      <w:pPr>
        <w:keepNext w:val="0"/>
        <w:keepLines w:val="0"/>
        <w:pageBreakBefore w:val="0"/>
        <w:widowControl w:val="0"/>
        <w:kinsoku/>
        <w:wordWrap/>
        <w:overflowPunct/>
        <w:topLinePunct w:val="0"/>
        <w:autoSpaceDE/>
        <w:autoSpaceDN/>
        <w:bidi w:val="0"/>
        <w:adjustRightInd/>
        <w:snapToGrid/>
        <w:spacing w:line="570" w:lineRule="exact"/>
        <w:ind w:firstLine="640"/>
        <w:textAlignment w:val="auto"/>
        <w:outlineLvl w:val="9"/>
        <w:rPr>
          <w:rFonts w:hint="eastAsia" w:ascii="仿宋_GB2312" w:hAnsi="Times New Roman" w:cs="仿宋_GB2312"/>
          <w:color w:val="auto"/>
          <w:highlight w:val="none"/>
          <w:lang w:val="en-US" w:eastAsia="zh-CN"/>
        </w:rPr>
      </w:pPr>
      <w:r>
        <w:rPr>
          <w:rFonts w:hint="eastAsia" w:ascii="仿宋_GB2312" w:hAnsi="Times New Roman" w:eastAsia="仿宋_GB2312" w:cs="仿宋_GB2312"/>
          <w:color w:val="auto"/>
          <w:highlight w:val="none"/>
          <w:lang w:val="en-US" w:eastAsia="zh-CN"/>
        </w:rPr>
        <w:t>1.项目决策。</w:t>
      </w:r>
      <w:r>
        <w:rPr>
          <w:rFonts w:hint="eastAsia" w:ascii="Times New Roman" w:hAnsi="Times New Roman" w:cs="Times New Roman"/>
          <w:color w:val="auto"/>
          <w:szCs w:val="32"/>
          <w:lang w:eastAsia="zh-CN"/>
        </w:rPr>
        <w:t>项目设立、调整延续等方面符合资金管理基本规范和决策程序要求。项目</w:t>
      </w:r>
      <w:r>
        <w:rPr>
          <w:rFonts w:hint="eastAsia" w:cs="Times New Roman"/>
          <w:color w:val="auto"/>
          <w:szCs w:val="32"/>
          <w:lang w:eastAsia="zh-CN"/>
        </w:rPr>
        <w:t>为</w:t>
      </w:r>
      <w:r>
        <w:rPr>
          <w:rFonts w:hint="eastAsia" w:cs="Times New Roman"/>
          <w:color w:val="auto"/>
          <w:szCs w:val="32"/>
          <w:lang w:val="en-US" w:eastAsia="zh-CN"/>
        </w:rPr>
        <w:t>州财政局</w:t>
      </w:r>
      <w:r>
        <w:rPr>
          <w:rFonts w:hint="eastAsia" w:cs="Times New Roman"/>
          <w:color w:val="auto"/>
          <w:szCs w:val="32"/>
          <w:lang w:eastAsia="zh-CN"/>
        </w:rPr>
        <w:t>直接下达，</w:t>
      </w:r>
      <w:r>
        <w:rPr>
          <w:rFonts w:hint="eastAsia" w:ascii="Times New Roman" w:hAnsi="Times New Roman" w:cs="Times New Roman"/>
          <w:color w:val="auto"/>
          <w:szCs w:val="32"/>
          <w:lang w:eastAsia="zh-CN"/>
        </w:rPr>
        <w:t>规划符合</w:t>
      </w:r>
      <w:r>
        <w:rPr>
          <w:rFonts w:hint="eastAsia" w:ascii="Times New Roman" w:hAnsi="Times New Roman" w:cs="Times New Roman"/>
          <w:color w:val="auto"/>
          <w:szCs w:val="32"/>
          <w:lang w:val="en-US" w:eastAsia="zh-CN"/>
        </w:rPr>
        <w:t>上级</w:t>
      </w:r>
      <w:r>
        <w:rPr>
          <w:rFonts w:hint="eastAsia" w:ascii="Times New Roman" w:hAnsi="Times New Roman" w:cs="Times New Roman"/>
          <w:color w:val="auto"/>
          <w:szCs w:val="32"/>
          <w:lang w:eastAsia="zh-CN"/>
        </w:rPr>
        <w:t>有关决策部署安排</w:t>
      </w:r>
      <w:r>
        <w:rPr>
          <w:rFonts w:hint="eastAsia" w:cs="Times New Roman"/>
          <w:color w:val="auto"/>
          <w:szCs w:val="32"/>
          <w:lang w:eastAsia="zh-CN"/>
        </w:rPr>
        <w:t>，</w:t>
      </w:r>
      <w:r>
        <w:rPr>
          <w:rFonts w:hint="eastAsia" w:ascii="Times New Roman" w:hAnsi="Times New Roman" w:cs="Times New Roman"/>
          <w:color w:val="auto"/>
          <w:szCs w:val="32"/>
          <w:lang w:eastAsia="zh-CN"/>
        </w:rPr>
        <w:t>项目</w:t>
      </w:r>
      <w:r>
        <w:rPr>
          <w:rFonts w:hint="eastAsia" w:cs="Times New Roman"/>
          <w:color w:val="auto"/>
          <w:szCs w:val="32"/>
          <w:lang w:eastAsia="zh-CN"/>
        </w:rPr>
        <w:t>具有</w:t>
      </w:r>
      <w:r>
        <w:rPr>
          <w:rFonts w:hint="eastAsia" w:ascii="Times New Roman" w:hAnsi="Times New Roman" w:cs="Times New Roman"/>
          <w:color w:val="auto"/>
          <w:szCs w:val="32"/>
          <w:lang w:eastAsia="zh-CN"/>
        </w:rPr>
        <w:t>必要性、前瞻性、合理性和可行性</w:t>
      </w:r>
      <w:r>
        <w:rPr>
          <w:rFonts w:hint="eastAsia" w:cs="Times New Roman"/>
          <w:color w:val="auto"/>
          <w:szCs w:val="32"/>
          <w:lang w:eastAsia="zh-CN"/>
        </w:rPr>
        <w:t>，</w:t>
      </w:r>
      <w:r>
        <w:rPr>
          <w:rFonts w:hint="eastAsia" w:ascii="Times New Roman" w:hAnsi="Times New Roman" w:cs="Times New Roman"/>
          <w:color w:val="auto"/>
          <w:szCs w:val="32"/>
          <w:lang w:eastAsia="zh-CN"/>
        </w:rPr>
        <w:t>总体绩效目标设置合理，绩效目标科学合理、规范完整、量化细化，与预算匹配。</w:t>
      </w:r>
      <w:r>
        <w:rPr>
          <w:rFonts w:hint="eastAsia" w:cs="Times New Roman"/>
          <w:color w:val="auto"/>
          <w:szCs w:val="32"/>
          <w:lang w:eastAsia="zh-CN"/>
        </w:rPr>
        <w:t>项目</w:t>
      </w:r>
      <w:r>
        <w:rPr>
          <w:rFonts w:hint="eastAsia" w:ascii="Times New Roman" w:hAnsi="Times New Roman" w:cs="Times New Roman"/>
          <w:color w:val="auto"/>
          <w:szCs w:val="32"/>
          <w:lang w:eastAsia="zh-CN"/>
        </w:rPr>
        <w:t>属于政府支持范围，且符合财政事权支出责任划分规定；资金投向与项目总体规划、相关行业事业发展相匹配；</w:t>
      </w:r>
      <w:r>
        <w:rPr>
          <w:rFonts w:hint="eastAsia" w:cs="Times New Roman"/>
          <w:color w:val="auto"/>
          <w:szCs w:val="32"/>
          <w:lang w:eastAsia="zh-CN"/>
        </w:rPr>
        <w:t>项目为上级部门统筹下达，属于</w:t>
      </w:r>
      <w:r>
        <w:rPr>
          <w:rFonts w:hint="eastAsia" w:ascii="Times New Roman" w:hAnsi="Times New Roman" w:cs="Times New Roman"/>
          <w:color w:val="auto"/>
          <w:szCs w:val="32"/>
          <w:lang w:eastAsia="zh-CN"/>
        </w:rPr>
        <w:t>聚焦重点领域</w:t>
      </w:r>
      <w:r>
        <w:rPr>
          <w:rFonts w:hint="eastAsia" w:cs="Times New Roman"/>
          <w:color w:val="auto"/>
          <w:szCs w:val="32"/>
          <w:lang w:eastAsia="zh-CN"/>
        </w:rPr>
        <w:t>的项目</w:t>
      </w:r>
      <w:r>
        <w:rPr>
          <w:rFonts w:hint="eastAsia" w:ascii="Times New Roman" w:hAnsi="Times New Roman" w:cs="Times New Roman"/>
          <w:color w:val="auto"/>
          <w:szCs w:val="32"/>
          <w:lang w:eastAsia="zh-CN"/>
        </w:rPr>
        <w:t>，体现</w:t>
      </w:r>
      <w:r>
        <w:rPr>
          <w:rFonts w:hint="eastAsia" w:cs="Times New Roman"/>
          <w:color w:val="auto"/>
          <w:szCs w:val="32"/>
          <w:lang w:eastAsia="zh-CN"/>
        </w:rPr>
        <w:t>了</w:t>
      </w:r>
      <w:r>
        <w:rPr>
          <w:rFonts w:hint="eastAsia" w:ascii="Times New Roman" w:hAnsi="Times New Roman" w:cs="Times New Roman"/>
          <w:color w:val="auto"/>
          <w:szCs w:val="32"/>
          <w:lang w:eastAsia="zh-CN"/>
        </w:rPr>
        <w:t>“集中财力办大事”原则；未与其他同类项目或部门内部相关项目交叉重复。</w:t>
      </w:r>
      <w:r>
        <w:rPr>
          <w:rFonts w:hint="eastAsia" w:ascii="仿宋_GB2312" w:hAnsi="Times New Roman" w:cs="仿宋_GB2312"/>
          <w:color w:val="auto"/>
          <w:highlight w:val="none"/>
          <w:lang w:val="en-US" w:eastAsia="zh-CN"/>
        </w:rPr>
        <w:t xml:space="preserve">       </w:t>
      </w:r>
    </w:p>
    <w:p w14:paraId="396064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hAnsi="Times New Roman" w:eastAsia="仿宋_GB2312" w:cs="仿宋_GB2312"/>
          <w:color w:val="auto"/>
          <w:highlight w:val="none"/>
          <w:lang w:val="en-US" w:eastAsia="zh-CN"/>
        </w:rPr>
        <w:t>2.项目管理。一是</w:t>
      </w:r>
      <w:r>
        <w:rPr>
          <w:rFonts w:hint="eastAsia" w:ascii="楷体_GB2312" w:hAnsi="Times New Roman" w:eastAsia="楷体_GB2312" w:cs="楷体_GB2312"/>
          <w:b/>
          <w:bCs/>
          <w:sz w:val="32"/>
          <w:szCs w:val="32"/>
          <w:lang w:val="en-US" w:eastAsia="zh-CN" w:bidi="ar-SA"/>
        </w:rPr>
        <w:t>持续开展习近平总书记安全生产重要论述和重要指示批示精神专题学习宣传贯彻，</w:t>
      </w:r>
      <w:r>
        <w:rPr>
          <w:rFonts w:hint="eastAsia" w:ascii="仿宋_GB2312" w:eastAsia="仿宋_GB2312"/>
          <w:sz w:val="32"/>
          <w:szCs w:val="32"/>
        </w:rPr>
        <w:t>树牢安全发展理念。举办安全生产和应急管理专题培训班，邀请资深专家、学者进行专题宣讲</w:t>
      </w:r>
      <w:r>
        <w:rPr>
          <w:rFonts w:hint="eastAsia" w:ascii="仿宋_GB2312"/>
          <w:sz w:val="32"/>
          <w:szCs w:val="32"/>
          <w:lang w:eastAsia="zh-CN"/>
        </w:rPr>
        <w:t>，</w:t>
      </w:r>
      <w:r>
        <w:rPr>
          <w:rFonts w:hint="eastAsia" w:ascii="仿宋_GB2312" w:eastAsia="仿宋_GB2312"/>
          <w:sz w:val="32"/>
          <w:szCs w:val="32"/>
        </w:rPr>
        <w:t>推动各企业主要负责人、管理人员增强安全生产责任意识，提高统筹发展和安全能力，真正把安全生产摆在首要位置，把安全生产措施落到实处。</w:t>
      </w:r>
      <w:r>
        <w:rPr>
          <w:rFonts w:hint="eastAsia" w:ascii="仿宋_GB2312"/>
          <w:sz w:val="32"/>
          <w:szCs w:val="32"/>
          <w:lang w:val="en-US" w:eastAsia="zh-CN"/>
        </w:rPr>
        <w:t>二是</w:t>
      </w:r>
      <w:r>
        <w:rPr>
          <w:rFonts w:hint="eastAsia" w:ascii="楷体_GB2312" w:hAnsi="Times New Roman" w:eastAsia="楷体_GB2312" w:cs="楷体_GB2312"/>
          <w:b/>
          <w:bCs/>
          <w:sz w:val="32"/>
          <w:szCs w:val="32"/>
          <w:lang w:val="en-US" w:eastAsia="zh-CN" w:bidi="ar-SA"/>
        </w:rPr>
        <w:t>开展安全生产法规规章宣传，</w:t>
      </w:r>
      <w:r>
        <w:rPr>
          <w:rFonts w:hint="eastAsia" w:ascii="仿宋_GB2312" w:eastAsia="仿宋_GB2312"/>
          <w:sz w:val="32"/>
          <w:szCs w:val="32"/>
        </w:rPr>
        <w:t>严格执行行业规范的安全生产标准，做到规范化生产管理</w:t>
      </w:r>
      <w:r>
        <w:rPr>
          <w:rFonts w:hint="eastAsia" w:cs="Times New Roman"/>
          <w:color w:val="auto"/>
          <w:szCs w:val="32"/>
          <w:lang w:val="en-US" w:eastAsia="zh-CN"/>
        </w:rPr>
        <w:t>。三是</w:t>
      </w:r>
      <w:r>
        <w:rPr>
          <w:rFonts w:hint="eastAsia" w:ascii="楷体_GB2312" w:hAnsi="Times New Roman" w:eastAsia="楷体_GB2312" w:cs="楷体_GB2312"/>
          <w:b/>
          <w:bCs/>
          <w:sz w:val="32"/>
          <w:szCs w:val="32"/>
          <w:lang w:val="en-US" w:eastAsia="zh-CN" w:bidi="ar-SA"/>
        </w:rPr>
        <w:t>开展重大事故隐患动态清零，</w:t>
      </w:r>
      <w:r>
        <w:rPr>
          <w:rFonts w:hint="eastAsia" w:ascii="仿宋_GB2312" w:eastAsia="仿宋_GB2312"/>
          <w:sz w:val="32"/>
          <w:szCs w:val="32"/>
        </w:rPr>
        <w:t>建立完善各类发展规划的安全风险评估会商机制，淘汰不具备安全生产条件的落后产能。严格项目审查、建设、验收、投产投用的闭环管理，不得以任何理由降低安全门槛。督促项目单位按规定开展安全评价</w:t>
      </w:r>
      <w:r>
        <w:rPr>
          <w:rFonts w:hint="eastAsia" w:ascii="仿宋_GB2312"/>
          <w:sz w:val="32"/>
          <w:szCs w:val="32"/>
          <w:lang w:eastAsia="zh-CN"/>
        </w:rPr>
        <w:t>，</w:t>
      </w:r>
      <w:r>
        <w:rPr>
          <w:rFonts w:hint="eastAsia" w:ascii="仿宋_GB2312" w:eastAsia="仿宋_GB2312"/>
          <w:sz w:val="32"/>
          <w:szCs w:val="32"/>
        </w:rPr>
        <w:t>认真落实安全设施“三同时”规定，坚决防止项目建设存在严重安全隐患，真正实现安全发展、科学发展。健全完善生产经营单位重大事故隐患自查自纠自改常态化工作机制，督促生产经营单位各级安全管理人员严格执行“两个一”、“四个一”安全工作机制</w:t>
      </w:r>
      <w:r>
        <w:rPr>
          <w:rFonts w:hint="eastAsia" w:ascii="仿宋_GB2312"/>
          <w:sz w:val="32"/>
          <w:szCs w:val="32"/>
          <w:lang w:eastAsia="zh-CN"/>
        </w:rPr>
        <w:t>。</w:t>
      </w:r>
      <w:r>
        <w:rPr>
          <w:rFonts w:hint="eastAsia" w:ascii="仿宋_GB2312" w:eastAsia="仿宋_GB2312"/>
          <w:sz w:val="32"/>
          <w:szCs w:val="32"/>
        </w:rPr>
        <w:t>督促生产经营单位严格遵照相关规定建立事故隐患台账清单，明确责任人、措施、资金、期限和应急预案，实行整改闭环管理。健全事故隐患数据库，加强对重大事故隐患的动态分析和全过程记录管理。完善重大事故隐患治理督办制度，建立负有安全监管职责有关部门审核把关销号机制，完善重大事故隐患治理考评制度</w:t>
      </w:r>
      <w:r>
        <w:rPr>
          <w:rFonts w:hint="eastAsia" w:ascii="仿宋_GB2312"/>
          <w:sz w:val="32"/>
          <w:szCs w:val="32"/>
          <w:lang w:eastAsia="zh-CN"/>
        </w:rPr>
        <w:t>。</w:t>
      </w:r>
      <w:r>
        <w:rPr>
          <w:rFonts w:hint="eastAsia" w:ascii="仿宋_GB2312"/>
          <w:sz w:val="32"/>
          <w:szCs w:val="32"/>
          <w:lang w:val="en-US" w:eastAsia="zh-CN"/>
        </w:rPr>
        <w:t>四是</w:t>
      </w:r>
      <w:r>
        <w:rPr>
          <w:rFonts w:hint="eastAsia" w:ascii="楷体_GB2312" w:hAnsi="Times New Roman" w:eastAsia="楷体_GB2312" w:cs="楷体_GB2312"/>
          <w:b/>
          <w:bCs/>
          <w:sz w:val="32"/>
          <w:szCs w:val="32"/>
          <w:lang w:val="en-US" w:eastAsia="zh-CN" w:bidi="ar-SA"/>
        </w:rPr>
        <w:t>开展安全科技支撑和工程治理。</w:t>
      </w:r>
      <w:r>
        <w:rPr>
          <w:rFonts w:hint="eastAsia" w:ascii="仿宋_GB2312" w:eastAsia="仿宋_GB2312"/>
          <w:sz w:val="32"/>
          <w:szCs w:val="32"/>
        </w:rPr>
        <w:t>积极推进林区道路、加油站、水电站、宾馆、老旧小区、城镇燃气整治工作，实现安全风险全过程辨识、全方位管控。深入开展老旧场所消防设施升级改造、林区公路安全生命防护、水库电站除险加固、电梯安全筑底、应急逃生出口和消防车通道打通等工程治理行动，对存在安全隐患的自建房整治要全覆盖，持续推动安全基础设施提质增效。</w:t>
      </w:r>
      <w:r>
        <w:rPr>
          <w:rFonts w:hint="eastAsia" w:ascii="仿宋_GB2312"/>
          <w:sz w:val="32"/>
          <w:szCs w:val="32"/>
          <w:lang w:val="en-US" w:eastAsia="zh-CN"/>
        </w:rPr>
        <w:t>五是</w:t>
      </w:r>
      <w:r>
        <w:rPr>
          <w:rFonts w:hint="eastAsia" w:ascii="楷体_GB2312" w:hAnsi="Times New Roman" w:eastAsia="楷体_GB2312" w:cs="楷体_GB2312"/>
          <w:b/>
          <w:bCs/>
          <w:sz w:val="32"/>
          <w:szCs w:val="32"/>
          <w:lang w:val="en-US" w:eastAsia="zh-CN" w:bidi="ar-SA"/>
        </w:rPr>
        <w:t>开展生产经营单位从业人员安全素质能力提升。</w:t>
      </w:r>
      <w:r>
        <w:rPr>
          <w:rFonts w:hint="eastAsia" w:ascii="仿宋_GB2312" w:eastAsia="仿宋_GB2312"/>
          <w:sz w:val="32"/>
          <w:szCs w:val="32"/>
        </w:rPr>
        <w:t>推动生产经营单位定期修订完善针对性</w:t>
      </w:r>
      <w:r>
        <w:rPr>
          <w:rFonts w:hint="eastAsia" w:ascii="仿宋_GB2312"/>
          <w:sz w:val="32"/>
          <w:szCs w:val="32"/>
          <w:lang w:eastAsia="zh-CN"/>
        </w:rPr>
        <w:t>、</w:t>
      </w:r>
      <w:r>
        <w:rPr>
          <w:rFonts w:hint="eastAsia" w:ascii="仿宋_GB2312" w:eastAsia="仿宋_GB2312"/>
          <w:sz w:val="32"/>
          <w:szCs w:val="32"/>
        </w:rPr>
        <w:t>可操作性的安全生产应急预案，</w:t>
      </w:r>
      <w:r>
        <w:rPr>
          <w:rFonts w:hint="eastAsia" w:ascii="仿宋_GB2312"/>
          <w:sz w:val="32"/>
          <w:szCs w:val="32"/>
          <w:lang w:val="en-US" w:eastAsia="zh-CN"/>
        </w:rPr>
        <w:t>适时</w:t>
      </w:r>
      <w:r>
        <w:rPr>
          <w:rFonts w:hint="eastAsia" w:ascii="仿宋_GB2312" w:eastAsia="仿宋_GB2312"/>
          <w:sz w:val="32"/>
          <w:szCs w:val="32"/>
        </w:rPr>
        <w:t>组织开展疏散逃生演练</w:t>
      </w:r>
      <w:r>
        <w:rPr>
          <w:rFonts w:hint="eastAsia" w:ascii="仿宋_GB2312"/>
          <w:sz w:val="32"/>
          <w:szCs w:val="32"/>
          <w:lang w:eastAsia="zh-CN"/>
        </w:rPr>
        <w:t>，</w:t>
      </w:r>
      <w:r>
        <w:rPr>
          <w:rFonts w:hint="eastAsia" w:ascii="仿宋_GB2312" w:eastAsia="仿宋_GB2312"/>
          <w:sz w:val="32"/>
          <w:szCs w:val="32"/>
        </w:rPr>
        <w:t>熟知应急处置要求</w:t>
      </w:r>
      <w:r>
        <w:rPr>
          <w:rFonts w:hint="eastAsia" w:ascii="仿宋_GB2312"/>
          <w:sz w:val="32"/>
          <w:szCs w:val="32"/>
          <w:lang w:eastAsia="zh-CN"/>
        </w:rPr>
        <w:t>。</w:t>
      </w:r>
      <w:r>
        <w:rPr>
          <w:rFonts w:hint="eastAsia" w:ascii="仿宋_GB2312"/>
          <w:sz w:val="32"/>
          <w:szCs w:val="32"/>
          <w:lang w:val="en-US" w:eastAsia="zh-CN"/>
        </w:rPr>
        <w:t>六是</w:t>
      </w:r>
      <w:r>
        <w:rPr>
          <w:rFonts w:hint="eastAsia" w:ascii="楷体_GB2312" w:hAnsi="Times New Roman" w:eastAsia="楷体_GB2312" w:cs="楷体_GB2312"/>
          <w:b/>
          <w:bCs/>
          <w:sz w:val="32"/>
          <w:szCs w:val="32"/>
          <w:lang w:val="en-US" w:eastAsia="zh-CN" w:bidi="ar-SA"/>
        </w:rPr>
        <w:t>开展生产经营单位安全管理体系建设</w:t>
      </w:r>
      <w:r>
        <w:rPr>
          <w:rFonts w:hint="eastAsia" w:ascii="仿宋_GB2312"/>
          <w:sz w:val="32"/>
          <w:szCs w:val="32"/>
          <w:lang w:val="en-US" w:eastAsia="zh-CN"/>
        </w:rPr>
        <w:t>。七是</w:t>
      </w:r>
      <w:r>
        <w:rPr>
          <w:rFonts w:hint="eastAsia" w:ascii="楷体_GB2312" w:hAnsi="Times New Roman" w:eastAsia="楷体_GB2312" w:cs="楷体_GB2312"/>
          <w:b/>
          <w:bCs/>
          <w:sz w:val="32"/>
          <w:szCs w:val="32"/>
          <w:lang w:val="en-US" w:eastAsia="zh-CN" w:bidi="ar-SA"/>
        </w:rPr>
        <w:t>开展安全生产精准执法和帮扶。</w:t>
      </w:r>
      <w:r>
        <w:rPr>
          <w:rFonts w:hint="eastAsia" w:ascii="仿宋_GB2312" w:eastAsia="仿宋_GB2312"/>
          <w:sz w:val="32"/>
          <w:szCs w:val="32"/>
        </w:rPr>
        <w:t xml:space="preserve"> 加大现场执法检查力度，完善“双随机”抽查检查工作机制，严防小施工、小作业惹大事。持续完善安全生产举报奖励工作制度机制，</w:t>
      </w:r>
      <w:r>
        <w:rPr>
          <w:rFonts w:hint="eastAsia" w:ascii="仿宋_GB2312"/>
          <w:sz w:val="32"/>
          <w:szCs w:val="32"/>
          <w:lang w:val="en-US" w:eastAsia="zh-CN"/>
        </w:rPr>
        <w:t>创建</w:t>
      </w:r>
      <w:r>
        <w:rPr>
          <w:rFonts w:hint="eastAsia" w:ascii="仿宋_GB2312" w:eastAsia="仿宋_GB2312"/>
          <w:sz w:val="32"/>
          <w:szCs w:val="32"/>
        </w:rPr>
        <w:t>安全生产全社会“共建共治共享”的良好氛围。</w:t>
      </w:r>
    </w:p>
    <w:p w14:paraId="7BC191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工作经费</w:t>
      </w:r>
      <w:r>
        <w:rPr>
          <w:rFonts w:hint="eastAsia" w:ascii="仿宋_GB2312" w:eastAsia="仿宋_GB2312"/>
          <w:sz w:val="32"/>
          <w:szCs w:val="32"/>
          <w:lang w:val="en-US"/>
        </w:rPr>
        <w:t>严格按照有关规定</w:t>
      </w:r>
      <w:r>
        <w:rPr>
          <w:rFonts w:hint="eastAsia" w:ascii="仿宋_GB2312" w:eastAsia="仿宋_GB2312"/>
          <w:sz w:val="32"/>
          <w:szCs w:val="32"/>
          <w:lang w:val="en-US" w:eastAsia="zh-CN"/>
        </w:rPr>
        <w:t>和下达计划内容实施</w:t>
      </w:r>
      <w:r>
        <w:rPr>
          <w:rFonts w:hint="eastAsia" w:ascii="仿宋_GB2312" w:eastAsia="仿宋_GB2312"/>
          <w:sz w:val="32"/>
          <w:szCs w:val="32"/>
          <w:lang w:val="en-US"/>
        </w:rPr>
        <w:t>，确保所需预算内投资足额及时到位</w:t>
      </w:r>
      <w:r>
        <w:rPr>
          <w:rFonts w:hint="eastAsia" w:ascii="仿宋_GB2312" w:eastAsia="仿宋_GB2312"/>
          <w:sz w:val="32"/>
          <w:szCs w:val="32"/>
          <w:lang w:val="en-US" w:eastAsia="zh-CN"/>
        </w:rPr>
        <w:t>，</w:t>
      </w:r>
      <w:r>
        <w:rPr>
          <w:rFonts w:hint="eastAsia" w:ascii="仿宋_GB2312" w:eastAsia="仿宋_GB2312"/>
          <w:sz w:val="32"/>
          <w:szCs w:val="32"/>
          <w:lang w:val="en-US"/>
        </w:rPr>
        <w:t>落实日常监管直接责任单位及监管责任人制度和项目实施地监管责任，建立工作机制，制定监管计划。</w:t>
      </w:r>
    </w:p>
    <w:p w14:paraId="10EDB5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Times New Roman" w:eastAsia="仿宋_GB2312" w:cs="仿宋_GB2312"/>
          <w:color w:val="auto"/>
          <w:kern w:val="2"/>
          <w:position w:val="0"/>
          <w:sz w:val="32"/>
          <w:szCs w:val="32"/>
          <w:highlight w:val="none"/>
          <w:lang w:val="en-US" w:eastAsia="zh-CN" w:bidi="ar-SA"/>
        </w:rPr>
      </w:pPr>
      <w:r>
        <w:rPr>
          <w:rFonts w:hint="eastAsia" w:ascii="仿宋_GB2312" w:eastAsia="仿宋_GB2312"/>
          <w:sz w:val="32"/>
          <w:szCs w:val="32"/>
          <w:lang w:val="en-US" w:eastAsia="zh-CN"/>
        </w:rPr>
        <w:t>3.项目实施。资金到位20万元，到位率100%。</w:t>
      </w:r>
      <w:r>
        <w:rPr>
          <w:rFonts w:hint="eastAsia" w:ascii="仿宋_GB2312"/>
          <w:sz w:val="32"/>
          <w:szCs w:val="32"/>
          <w:lang w:val="en-US" w:eastAsia="zh-CN"/>
        </w:rPr>
        <w:t>并支付项目资金19.87万元。</w:t>
      </w:r>
      <w:r>
        <w:rPr>
          <w:rFonts w:hint="eastAsia" w:ascii="仿宋_GB2312" w:eastAsia="仿宋_GB2312" w:cs="仿宋_GB2312"/>
          <w:color w:val="auto"/>
          <w:highlight w:val="none"/>
          <w:lang w:val="en-US" w:eastAsia="zh-CN"/>
        </w:rPr>
        <w:t>资金使用、拨付符合国家财经法规、财务管理制度及有关专项资金管理制度办法规定和审批程序，不存在超范围、超标准、超进度使用专项</w:t>
      </w:r>
      <w:r>
        <w:rPr>
          <w:rFonts w:hint="eastAsia" w:ascii="仿宋_GB2312" w:hAnsi="Times New Roman" w:eastAsia="仿宋_GB2312" w:cs="仿宋_GB2312"/>
          <w:color w:val="auto"/>
          <w:kern w:val="2"/>
          <w:position w:val="0"/>
          <w:sz w:val="32"/>
          <w:szCs w:val="32"/>
          <w:highlight w:val="none"/>
          <w:lang w:val="en-US" w:eastAsia="zh-CN" w:bidi="ar-SA"/>
        </w:rPr>
        <w:t>资金，不存在资金损失浪费、长期沉淀、截留、挤占、挪用、虚列支出等情况，严格遵守相关法律法规。</w:t>
      </w:r>
    </w:p>
    <w:p w14:paraId="6A6917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s="仿宋_GB2312"/>
          <w:color w:val="auto"/>
          <w:kern w:val="2"/>
          <w:position w:val="0"/>
          <w:sz w:val="32"/>
          <w:szCs w:val="32"/>
          <w:highlight w:val="none"/>
          <w:lang w:val="en-US" w:eastAsia="zh-CN" w:bidi="ar-SA"/>
        </w:rPr>
      </w:pPr>
      <w:r>
        <w:rPr>
          <w:rFonts w:hint="eastAsia" w:ascii="仿宋_GB2312" w:hAnsi="Times New Roman" w:eastAsia="仿宋_GB2312" w:cs="仿宋_GB2312"/>
          <w:color w:val="auto"/>
          <w:kern w:val="2"/>
          <w:position w:val="0"/>
          <w:sz w:val="32"/>
          <w:szCs w:val="32"/>
          <w:highlight w:val="none"/>
          <w:lang w:val="en-US" w:eastAsia="zh-CN" w:bidi="ar-SA"/>
        </w:rPr>
        <w:t>4.项目结果。</w:t>
      </w:r>
      <w:r>
        <w:rPr>
          <w:rFonts w:hint="eastAsia" w:ascii="仿宋_GB2312" w:eastAsia="仿宋_GB2312"/>
          <w:sz w:val="32"/>
          <w:szCs w:val="32"/>
        </w:rPr>
        <w:t>我局把安全生产治本攻坚实施情况纳入年度安全生产党政同责工作考评，加强动态检查和过程监督，定期采取督导检查、暗访暗查等形式，对工作推进不力或缓慢的单位及时约谈、通报、曝光。各单位也要结合实际，严格实行考核巡查、督导督办、责任倒查等工作，严肃问责问效，坚决确保安全生产治本攻坚行动取得圆满实效。</w:t>
      </w:r>
      <w:r>
        <w:rPr>
          <w:rFonts w:hint="eastAsia" w:ascii="仿宋_GB2312" w:hAnsi="Times New Roman" w:eastAsia="仿宋_GB2312" w:cs="仿宋_GB2312"/>
          <w:color w:val="auto"/>
          <w:kern w:val="2"/>
          <w:position w:val="0"/>
          <w:sz w:val="32"/>
          <w:szCs w:val="32"/>
          <w:highlight w:val="none"/>
          <w:lang w:val="en-US" w:eastAsia="zh-CN" w:bidi="ar-SA"/>
        </w:rPr>
        <w:t>项目完成预期目标，实施结果与绩效目标相匹配。</w:t>
      </w:r>
    </w:p>
    <w:p w14:paraId="1BC076DB">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Times New Roman"/>
          <w:sz w:val="32"/>
          <w:szCs w:val="32"/>
          <w:lang w:val="en-US"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hAnsi="Times New Roman" w:eastAsia="仿宋_GB2312" w:cs="仿宋_GB2312"/>
          <w:color w:val="auto"/>
          <w:kern w:val="2"/>
          <w:position w:val="0"/>
          <w:sz w:val="32"/>
          <w:szCs w:val="32"/>
          <w:highlight w:val="none"/>
          <w:lang w:val="en-US" w:eastAsia="zh-CN" w:bidi="ar-SA"/>
        </w:rPr>
        <w:t>防灾</w:t>
      </w:r>
      <w:r>
        <w:rPr>
          <w:rFonts w:hint="eastAsia" w:ascii="仿宋_GB2312" w:eastAsia="仿宋_GB2312" w:cs="仿宋_GB2312"/>
          <w:color w:val="auto"/>
          <w:kern w:val="2"/>
          <w:position w:val="0"/>
          <w:sz w:val="32"/>
          <w:szCs w:val="32"/>
          <w:highlight w:val="none"/>
          <w:lang w:val="en-US" w:eastAsia="zh-CN" w:bidi="ar-SA"/>
        </w:rPr>
        <w:t>减灾工作有序开展</w:t>
      </w:r>
      <w:r>
        <w:rPr>
          <w:rFonts w:hint="eastAsia" w:ascii="仿宋_GB2312" w:hAnsi="Times New Roman" w:eastAsia="仿宋_GB2312" w:cs="Times New Roman"/>
          <w:sz w:val="32"/>
          <w:szCs w:val="32"/>
          <w:lang w:val="en-US" w:eastAsia="zh-CN"/>
        </w:rPr>
        <w:t>。</w:t>
      </w:r>
    </w:p>
    <w:p w14:paraId="4A3A04A4">
      <w:pPr>
        <w:pStyle w:val="2"/>
        <w:keepNext w:val="0"/>
        <w:keepLines w:val="0"/>
        <w:pageBreakBefore w:val="0"/>
        <w:kinsoku/>
        <w:wordWrap/>
        <w:overflowPunct/>
        <w:topLinePunct w:val="0"/>
        <w:autoSpaceDE/>
        <w:autoSpaceDN/>
        <w:bidi w:val="0"/>
        <w:adjustRightInd/>
        <w:snapToGrid/>
        <w:spacing w:line="560" w:lineRule="exact"/>
        <w:ind w:firstLine="643" w:firstLineChars="200"/>
        <w:rPr>
          <w:rFonts w:hint="eastAsia" w:ascii="仿宋_GB2312" w:hAnsi="Times New Roman" w:eastAsia="仿宋_GB2312" w:cs="Times New Roman"/>
          <w:kern w:val="2"/>
          <w:position w:val="0"/>
          <w:sz w:val="32"/>
          <w:szCs w:val="32"/>
          <w:lang w:val="en-US" w:eastAsia="zh-CN" w:bidi="ar-SA"/>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楷体_GB2312" w:hAnsi="宋体" w:eastAsia="楷体_GB2312" w:cs="Times New Roman"/>
          <w:b/>
          <w:color w:val="auto"/>
          <w:sz w:val="32"/>
          <w:szCs w:val="32"/>
          <w:highlight w:val="none"/>
          <w:u w:val="none"/>
          <w:lang w:val="zh-CN" w:eastAsia="zh-CN"/>
        </w:rPr>
        <w:t>绩效分析</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ascii="仿宋_GB2312" w:eastAsia="仿宋_GB2312" w:cs="仿宋_GB2312"/>
          <w:color w:val="auto"/>
          <w:kern w:val="2"/>
          <w:position w:val="0"/>
          <w:sz w:val="32"/>
          <w:szCs w:val="32"/>
          <w:highlight w:val="none"/>
          <w:lang w:val="en-US" w:eastAsia="zh-CN" w:bidi="ar-SA"/>
        </w:rPr>
        <w:t>通过防灾减灾工作有序推进，2024年全州林草行业无较大灾害及安全事故发生，</w:t>
      </w:r>
      <w:r>
        <w:rPr>
          <w:rFonts w:hint="eastAsia" w:ascii="仿宋_GB2312" w:hAnsi="Times New Roman" w:eastAsia="仿宋_GB2312" w:cs="Times New Roman"/>
          <w:kern w:val="2"/>
          <w:position w:val="0"/>
          <w:sz w:val="32"/>
          <w:szCs w:val="32"/>
          <w:lang w:val="en-US" w:eastAsia="zh-CN" w:bidi="ar-SA"/>
        </w:rPr>
        <w:t>确保人民群众生命财产安全和生态安全。</w:t>
      </w:r>
    </w:p>
    <w:p w14:paraId="769321C5">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color w:val="auto"/>
          <w:sz w:val="32"/>
          <w:szCs w:val="32"/>
          <w:highlight w:val="none"/>
          <w:u w:val="none"/>
          <w:lang w:eastAsia="zh-CN"/>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4DF13411">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仿宋" w:hAnsi="仿宋" w:eastAsia="仿宋" w:cs="仿宋_GB2312"/>
          <w:b w:val="0"/>
          <w:bCs w:val="0"/>
          <w:sz w:val="32"/>
          <w:szCs w:val="32"/>
          <w:lang w:val="en-US" w:eastAsia="zh-CN"/>
        </w:rPr>
      </w:pPr>
      <w:r>
        <w:rPr>
          <w:rFonts w:hint="eastAsia" w:ascii="仿宋_GB2312" w:hAnsi="Times New Roman" w:eastAsia="仿宋_GB2312" w:cs="Times New Roman"/>
          <w:sz w:val="32"/>
          <w:szCs w:val="32"/>
          <w:lang w:val="en-US" w:eastAsia="zh-CN"/>
        </w:rPr>
        <w:t>项目严格按照任务相关文件要求确定建设内容，项目资金使用方向合规。项目管理规范，有严格的财务管理制度和项目实施监督制度。我们</w:t>
      </w:r>
      <w:r>
        <w:rPr>
          <w:rFonts w:hint="eastAsia" w:ascii="仿宋_GB2312" w:eastAsia="仿宋_GB2312" w:cs="Times New Roman"/>
          <w:sz w:val="32"/>
          <w:szCs w:val="32"/>
          <w:lang w:val="en-US" w:eastAsia="zh-CN"/>
        </w:rPr>
        <w:t>还</w:t>
      </w:r>
      <w:r>
        <w:rPr>
          <w:rFonts w:hint="eastAsia" w:ascii="仿宋_GB2312" w:hAnsi="Times New Roman" w:eastAsia="仿宋_GB2312" w:cs="Times New Roman"/>
          <w:sz w:val="32"/>
          <w:szCs w:val="32"/>
          <w:lang w:val="en-US" w:eastAsia="zh-CN"/>
        </w:rPr>
        <w:t>需要进一步加强对森林防火工作的研究和探索，不断提升森林防火</w:t>
      </w:r>
      <w:r>
        <w:rPr>
          <w:rFonts w:hint="eastAsia" w:ascii="仿宋_GB2312" w:eastAsia="仿宋_GB2312" w:cs="Times New Roman"/>
          <w:sz w:val="32"/>
          <w:szCs w:val="32"/>
          <w:lang w:val="en-US" w:eastAsia="zh-CN"/>
        </w:rPr>
        <w:t>、防灾减灾</w:t>
      </w:r>
      <w:r>
        <w:rPr>
          <w:rFonts w:hint="eastAsia" w:ascii="仿宋_GB2312" w:hAnsi="Times New Roman" w:eastAsia="仿宋_GB2312" w:cs="Times New Roman"/>
          <w:sz w:val="32"/>
          <w:szCs w:val="32"/>
          <w:lang w:val="en-US" w:eastAsia="zh-CN"/>
        </w:rPr>
        <w:t>工作的科技含量和智能化水平。</w:t>
      </w:r>
      <w:r>
        <w:rPr>
          <w:rFonts w:hint="eastAsia" w:ascii="仿宋" w:hAnsi="仿宋" w:eastAsia="仿宋" w:cs="仿宋_GB2312"/>
          <w:b w:val="0"/>
          <w:bCs w:val="0"/>
          <w:sz w:val="32"/>
          <w:szCs w:val="32"/>
          <w:lang w:val="en-US" w:eastAsia="zh-CN"/>
        </w:rPr>
        <w:t>通过自评，项目得分94分。</w:t>
      </w:r>
    </w:p>
    <w:p w14:paraId="0AAB9813">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7447F33B">
      <w:pPr>
        <w:ind w:firstLine="640" w:firstLineChars="200"/>
        <w:rPr>
          <w:rFonts w:hint="default"/>
          <w:lang w:val="en-US" w:eastAsia="zh-CN"/>
        </w:rPr>
      </w:pPr>
      <w:r>
        <w:rPr>
          <w:rFonts w:hint="eastAsia" w:ascii="仿宋_GB2312" w:hAnsi="仿宋_GB2312" w:cs="仿宋_GB2312"/>
          <w:b w:val="0"/>
          <w:bCs w:val="0"/>
          <w:kern w:val="0"/>
          <w:position w:val="0"/>
          <w:sz w:val="32"/>
          <w:szCs w:val="32"/>
          <w:highlight w:val="none"/>
          <w:lang w:val="en-US" w:eastAsia="zh-CN" w:bidi="ar-SA"/>
        </w:rPr>
        <w:t>无。</w:t>
      </w:r>
    </w:p>
    <w:p w14:paraId="6714B6B5">
      <w:pPr>
        <w:pStyle w:val="2"/>
        <w:keepNext w:val="0"/>
        <w:keepLines w:val="0"/>
        <w:pageBreakBefore w:val="0"/>
        <w:numPr>
          <w:ilvl w:val="0"/>
          <w:numId w:val="0"/>
        </w:numPr>
        <w:kinsoku/>
        <w:wordWrap/>
        <w:overflowPunct/>
        <w:topLinePunct w:val="0"/>
        <w:autoSpaceDE/>
        <w:autoSpaceDN/>
        <w:bidi w:val="0"/>
        <w:adjustRightInd/>
        <w:spacing w:line="57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21303A76">
      <w:pPr>
        <w:pStyle w:val="2"/>
        <w:spacing w:line="360" w:lineRule="auto"/>
        <w:ind w:left="0" w:firstLine="640" w:firstLineChars="200"/>
        <w:rPr>
          <w:rFonts w:hint="default" w:ascii="仿宋_GB2312" w:hAnsi="仿宋_GB2312" w:cs="仿宋_GB2312"/>
          <w:b w:val="0"/>
          <w:bCs w:val="0"/>
          <w:kern w:val="0"/>
          <w:position w:val="0"/>
          <w:sz w:val="32"/>
          <w:szCs w:val="32"/>
          <w:highlight w:val="none"/>
          <w:lang w:val="en-US" w:eastAsia="zh-CN" w:bidi="ar-SA"/>
        </w:rPr>
      </w:pPr>
      <w:r>
        <w:rPr>
          <w:rFonts w:hint="eastAsia" w:ascii="仿宋_GB2312" w:eastAsia="仿宋_GB2312" w:cs="宋体"/>
          <w:sz w:val="32"/>
          <w:szCs w:val="32"/>
          <w:lang w:val="en-US" w:eastAsia="zh-CN"/>
        </w:rPr>
        <w:t>无</w:t>
      </w:r>
      <w:r>
        <w:rPr>
          <w:rFonts w:hint="eastAsia" w:ascii="仿宋_GB2312" w:eastAsia="仿宋_GB2312" w:cs="宋体"/>
          <w:sz w:val="32"/>
          <w:szCs w:val="32"/>
        </w:rPr>
        <w:t>。</w:t>
      </w:r>
    </w:p>
    <w:p w14:paraId="3B4FEC43">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36E10C4A">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2F52186D">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073CA2C7">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7E33B1C9">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292B549">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6CA56758">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7F668385">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p>
    <w:p w14:paraId="62006D39">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9614AAE">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115C22C6">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C6DFA44">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1048E8C9">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4E0508E5">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77B963D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102B50B6">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460"/>
        <w:gridCol w:w="591"/>
        <w:gridCol w:w="5340"/>
        <w:gridCol w:w="732"/>
        <w:gridCol w:w="468"/>
      </w:tblGrid>
      <w:tr w14:paraId="5987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781F52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D28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3A1CC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434AA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7705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79C7E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09FD5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129B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EFF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3F6F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4E741A3D">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21D42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6A7B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1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通用指标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6702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C977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7FE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4F3C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B35D6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81BC7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ECD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54B5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565AF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A3E8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7DFE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C3404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956A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6BBF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31E1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E17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854F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6853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FCB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0B047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B6FDE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D84C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74D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5AF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7DC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907A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20B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BF19C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7670D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13CD6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E4DE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68FF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FC2F8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9546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09E1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6A8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EA59F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889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AA3E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004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126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A90F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CA9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931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33288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7BEA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C04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137A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5B89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项目实施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2CC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667B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6709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FAF22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82FB6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42C1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FC9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AE167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80A0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1F0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4690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DBFED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CDF6E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F77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9C8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7FDE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项目结果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CABA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3C6D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1B13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40511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7945B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319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262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48427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083F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5186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1C58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822F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7A481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DD9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B5B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D79D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产业发展</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E2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ED45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2DD7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5BCAE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B8CE8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7E82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C1E2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F0F5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725E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3DED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A8A0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8A7E6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1224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EBE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1C7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8CA3C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CB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8598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7B391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DA3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3E032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319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F3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AFEB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民生保障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2355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C33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DC043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A2D7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8509E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A723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E95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7C4F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5B952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13A4C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709B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DEE35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110DA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96AC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53E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A7B0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30A38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475A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26170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00C3F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8516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9364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79D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BA327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69EE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97C7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D702A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686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6379D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C1E2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3FD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6A451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基础</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设施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3B35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在建</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A34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7D348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42127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0F830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E0045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1CF0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764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F63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D9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ED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07614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296B3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2AFCE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8B46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C69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F29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47B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03261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建成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6C8D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438B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479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4CA6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5FF0E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E54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3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26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29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F52F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688CD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C14B3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B9B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67F9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616F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80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59D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FCA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04AE3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6AA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3421F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E50A5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BEEAD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AF1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A67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12502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行政运转</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460" w:type="dxa"/>
            <w:tcBorders>
              <w:top w:val="nil"/>
              <w:left w:val="single" w:color="000000" w:sz="4" w:space="0"/>
              <w:bottom w:val="single" w:color="000000" w:sz="4" w:space="0"/>
              <w:right w:val="single" w:color="000000" w:sz="4" w:space="0"/>
            </w:tcBorders>
            <w:noWrap w:val="0"/>
            <w:vAlign w:val="center"/>
          </w:tcPr>
          <w:p w14:paraId="7E8D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591" w:type="dxa"/>
            <w:tcBorders>
              <w:top w:val="nil"/>
              <w:left w:val="single" w:color="000000" w:sz="4" w:space="0"/>
              <w:bottom w:val="single" w:color="000000" w:sz="4" w:space="0"/>
              <w:right w:val="single" w:color="000000" w:sz="4" w:space="0"/>
            </w:tcBorders>
            <w:noWrap w:val="0"/>
            <w:vAlign w:val="center"/>
          </w:tcPr>
          <w:p w14:paraId="03B9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nil"/>
              <w:left w:val="single" w:color="000000" w:sz="4" w:space="0"/>
              <w:bottom w:val="single" w:color="000000" w:sz="4" w:space="0"/>
              <w:right w:val="single" w:color="000000" w:sz="4" w:space="0"/>
            </w:tcBorders>
            <w:noWrap w:val="0"/>
            <w:vAlign w:val="center"/>
          </w:tcPr>
          <w:p w14:paraId="51A5CC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5C81C3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nil"/>
              <w:left w:val="single" w:color="000000" w:sz="4" w:space="0"/>
              <w:bottom w:val="single" w:color="000000" w:sz="4" w:space="0"/>
              <w:right w:val="single" w:color="000000" w:sz="4" w:space="0"/>
            </w:tcBorders>
            <w:noWrap w:val="0"/>
            <w:vAlign w:val="center"/>
          </w:tcPr>
          <w:p w14:paraId="191C5C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157C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0452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40967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0ECDF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591" w:type="dxa"/>
            <w:tcBorders>
              <w:top w:val="nil"/>
              <w:left w:val="single" w:color="000000" w:sz="4" w:space="0"/>
              <w:bottom w:val="single" w:color="000000" w:sz="4" w:space="0"/>
              <w:right w:val="single" w:color="000000" w:sz="4" w:space="0"/>
            </w:tcBorders>
            <w:noWrap w:val="0"/>
            <w:vAlign w:val="center"/>
          </w:tcPr>
          <w:p w14:paraId="5579E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B36C7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3BA7A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CFB9B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34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2C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16EB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nil"/>
              <w:left w:val="single" w:color="000000" w:sz="4" w:space="0"/>
              <w:bottom w:val="single" w:color="000000" w:sz="4" w:space="0"/>
              <w:right w:val="single" w:color="000000" w:sz="4" w:space="0"/>
            </w:tcBorders>
            <w:noWrap w:val="0"/>
            <w:vAlign w:val="center"/>
          </w:tcPr>
          <w:p w14:paraId="6E94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591" w:type="dxa"/>
            <w:tcBorders>
              <w:top w:val="nil"/>
              <w:left w:val="single" w:color="000000" w:sz="4" w:space="0"/>
              <w:bottom w:val="single" w:color="000000" w:sz="4" w:space="0"/>
              <w:right w:val="single" w:color="000000" w:sz="4" w:space="0"/>
            </w:tcBorders>
            <w:noWrap w:val="0"/>
            <w:vAlign w:val="center"/>
          </w:tcPr>
          <w:p w14:paraId="40198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B1FFC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75AE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932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5B3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8A3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个性指标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（16分）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147FC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5E432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1E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预算数与执行数对比</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5D6C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056B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8B1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51339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30DE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资金支付率</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457C0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F52F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FDA3CF7">
            <w:pPr>
              <w:keepNext w:val="0"/>
              <w:keepLines w:val="0"/>
              <w:pageBreakBefore w:val="0"/>
              <w:widowControl/>
              <w:kinsoku/>
              <w:wordWrap/>
              <w:overflowPunct/>
              <w:topLinePunct w:val="0"/>
              <w:autoSpaceDE/>
              <w:autoSpaceDN/>
              <w:bidi w:val="0"/>
              <w:adjustRightInd/>
              <w:snapToGrid/>
              <w:spacing w:line="240" w:lineRule="exact"/>
              <w:jc w:val="lef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8AE4B9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3452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10D446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2C2A9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246A3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86511">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BE52C03">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510FD8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75DB5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24B19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460" w:type="dxa"/>
            <w:tcBorders>
              <w:top w:val="single" w:color="000000" w:sz="4" w:space="0"/>
              <w:left w:val="single" w:color="000000" w:sz="4" w:space="0"/>
              <w:bottom w:val="single" w:color="000000" w:sz="4" w:space="0"/>
              <w:right w:val="single" w:color="000000" w:sz="4" w:space="0"/>
            </w:tcBorders>
            <w:noWrap w:val="0"/>
            <w:vAlign w:val="center"/>
          </w:tcPr>
          <w:p w14:paraId="49CC4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部门配合度</w:t>
            </w:r>
          </w:p>
        </w:tc>
        <w:tc>
          <w:tcPr>
            <w:tcW w:w="591" w:type="dxa"/>
            <w:tcBorders>
              <w:top w:val="single" w:color="000000" w:sz="4" w:space="0"/>
              <w:left w:val="single" w:color="000000" w:sz="4" w:space="0"/>
              <w:bottom w:val="single" w:color="000000" w:sz="4" w:space="0"/>
              <w:right w:val="single" w:color="000000" w:sz="4" w:space="0"/>
            </w:tcBorders>
            <w:noWrap w:val="0"/>
            <w:vAlign w:val="center"/>
          </w:tcPr>
          <w:p w14:paraId="30E21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B7CF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2C1CD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648B4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3AC5D5F3">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6B909F8D">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p w14:paraId="49EF7E73">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楷体_GB2312" w:hAnsi="楷体_GB2312" w:eastAsia="楷体_GB2312" w:cs="楷体_GB2312"/>
          <w:b w:val="0"/>
          <w:bCs w:val="0"/>
          <w:color w:val="auto"/>
          <w:sz w:val="28"/>
          <w:szCs w:val="28"/>
          <w:highlight w:val="none"/>
          <w:u w:val="none"/>
          <w:lang w:val="en-US" w:eastAsia="zh-CN"/>
        </w:rPr>
      </w:pPr>
      <w:r>
        <w:rPr>
          <w:rFonts w:hint="eastAsia" w:ascii="楷体_GB2312" w:hAnsi="楷体_GB2312" w:eastAsia="楷体_GB2312" w:cs="楷体_GB2312"/>
          <w:b w:val="0"/>
          <w:bCs w:val="0"/>
          <w:color w:val="auto"/>
          <w:sz w:val="28"/>
          <w:szCs w:val="28"/>
          <w:highlight w:val="none"/>
          <w:u w:val="none"/>
          <w:lang w:val="en-US" w:eastAsia="zh-CN"/>
        </w:rPr>
        <w:t>（例表）</w:t>
      </w:r>
    </w:p>
    <w:tbl>
      <w:tblPr>
        <w:tblStyle w:val="10"/>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78BC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D92B52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3268B29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3F5E312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4FFF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3B819A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300FF81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马尔康市</w:t>
            </w:r>
          </w:p>
        </w:tc>
        <w:tc>
          <w:tcPr>
            <w:tcW w:w="905" w:type="dxa"/>
            <w:noWrap w:val="0"/>
            <w:vAlign w:val="top"/>
          </w:tcPr>
          <w:p w14:paraId="3AD96D1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136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78310F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2</w:t>
            </w:r>
          </w:p>
        </w:tc>
        <w:tc>
          <w:tcPr>
            <w:tcW w:w="5956" w:type="dxa"/>
            <w:noWrap w:val="0"/>
            <w:vAlign w:val="top"/>
          </w:tcPr>
          <w:p w14:paraId="256E410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金川县</w:t>
            </w:r>
          </w:p>
        </w:tc>
        <w:tc>
          <w:tcPr>
            <w:tcW w:w="905" w:type="dxa"/>
            <w:noWrap w:val="0"/>
            <w:vAlign w:val="top"/>
          </w:tcPr>
          <w:p w14:paraId="7848322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30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74E9B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3</w:t>
            </w:r>
          </w:p>
        </w:tc>
        <w:tc>
          <w:tcPr>
            <w:tcW w:w="5956" w:type="dxa"/>
            <w:noWrap w:val="0"/>
            <w:vAlign w:val="top"/>
          </w:tcPr>
          <w:p w14:paraId="653AD4A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小金县</w:t>
            </w:r>
          </w:p>
        </w:tc>
        <w:tc>
          <w:tcPr>
            <w:tcW w:w="905" w:type="dxa"/>
            <w:noWrap w:val="0"/>
            <w:vAlign w:val="top"/>
          </w:tcPr>
          <w:p w14:paraId="28EA6C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D56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DB8F02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4</w:t>
            </w:r>
          </w:p>
        </w:tc>
        <w:tc>
          <w:tcPr>
            <w:tcW w:w="5956" w:type="dxa"/>
            <w:noWrap w:val="0"/>
            <w:vAlign w:val="top"/>
          </w:tcPr>
          <w:p w14:paraId="62E93A3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松潘县</w:t>
            </w:r>
          </w:p>
        </w:tc>
        <w:tc>
          <w:tcPr>
            <w:tcW w:w="905" w:type="dxa"/>
            <w:noWrap w:val="0"/>
            <w:vAlign w:val="top"/>
          </w:tcPr>
          <w:p w14:paraId="46EE7A9E">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B4F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6F5DC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5</w:t>
            </w:r>
          </w:p>
        </w:tc>
        <w:tc>
          <w:tcPr>
            <w:tcW w:w="5956" w:type="dxa"/>
            <w:noWrap w:val="0"/>
            <w:vAlign w:val="top"/>
          </w:tcPr>
          <w:p w14:paraId="6F60C46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九寨沟县</w:t>
            </w:r>
          </w:p>
        </w:tc>
        <w:tc>
          <w:tcPr>
            <w:tcW w:w="905" w:type="dxa"/>
            <w:noWrap w:val="0"/>
            <w:vAlign w:val="top"/>
          </w:tcPr>
          <w:p w14:paraId="5001E44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B0B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C7E6F0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6</w:t>
            </w:r>
          </w:p>
        </w:tc>
        <w:tc>
          <w:tcPr>
            <w:tcW w:w="5956" w:type="dxa"/>
            <w:noWrap w:val="0"/>
            <w:vAlign w:val="top"/>
          </w:tcPr>
          <w:p w14:paraId="3F5E5B2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黑水县</w:t>
            </w:r>
          </w:p>
        </w:tc>
        <w:tc>
          <w:tcPr>
            <w:tcW w:w="905" w:type="dxa"/>
            <w:noWrap w:val="0"/>
            <w:vAlign w:val="top"/>
          </w:tcPr>
          <w:p w14:paraId="57E5921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C0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ACED0E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7</w:t>
            </w:r>
          </w:p>
        </w:tc>
        <w:tc>
          <w:tcPr>
            <w:tcW w:w="5956" w:type="dxa"/>
            <w:noWrap w:val="0"/>
            <w:vAlign w:val="top"/>
          </w:tcPr>
          <w:p w14:paraId="31FE5D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汶川县</w:t>
            </w:r>
          </w:p>
        </w:tc>
        <w:tc>
          <w:tcPr>
            <w:tcW w:w="905" w:type="dxa"/>
            <w:noWrap w:val="0"/>
            <w:vAlign w:val="top"/>
          </w:tcPr>
          <w:p w14:paraId="639197B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8E2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997754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eastAsia" w:eastAsia="宋体" w:cs="Times New Roman"/>
                <w:b w:val="0"/>
                <w:bCs w:val="0"/>
                <w:color w:val="auto"/>
                <w:sz w:val="24"/>
                <w:szCs w:val="24"/>
                <w:highlight w:val="none"/>
                <w:u w:val="none"/>
                <w:lang w:val="en-US" w:eastAsia="zh-CN"/>
              </w:rPr>
              <w:t>8</w:t>
            </w:r>
          </w:p>
        </w:tc>
        <w:tc>
          <w:tcPr>
            <w:tcW w:w="5956" w:type="dxa"/>
            <w:noWrap w:val="0"/>
            <w:vAlign w:val="top"/>
          </w:tcPr>
          <w:p w14:paraId="46F7ACB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理县</w:t>
            </w:r>
          </w:p>
        </w:tc>
        <w:tc>
          <w:tcPr>
            <w:tcW w:w="905" w:type="dxa"/>
            <w:noWrap w:val="0"/>
            <w:vAlign w:val="top"/>
          </w:tcPr>
          <w:p w14:paraId="575F864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269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785179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eastAsia" w:eastAsia="宋体" w:cs="Times New Roman"/>
                <w:color w:val="auto"/>
                <w:sz w:val="24"/>
                <w:szCs w:val="24"/>
                <w:highlight w:val="none"/>
                <w:u w:val="none"/>
                <w:lang w:val="en-US" w:eastAsia="zh-CN"/>
              </w:rPr>
              <w:t>9</w:t>
            </w:r>
          </w:p>
        </w:tc>
        <w:tc>
          <w:tcPr>
            <w:tcW w:w="5956" w:type="dxa"/>
            <w:noWrap w:val="0"/>
            <w:vAlign w:val="top"/>
          </w:tcPr>
          <w:p w14:paraId="57C9FF19">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US" w:eastAsia="zh-CN"/>
              </w:rPr>
              <w:t>茂县</w:t>
            </w:r>
          </w:p>
        </w:tc>
        <w:tc>
          <w:tcPr>
            <w:tcW w:w="905" w:type="dxa"/>
            <w:noWrap w:val="0"/>
            <w:vAlign w:val="top"/>
          </w:tcPr>
          <w:p w14:paraId="6661EF3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3B3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90E11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eastAsia" w:eastAsia="宋体" w:cs="Times New Roman"/>
                <w:color w:val="auto"/>
                <w:sz w:val="24"/>
                <w:szCs w:val="24"/>
                <w:highlight w:val="none"/>
                <w:u w:val="none"/>
                <w:lang w:val="en-US" w:eastAsia="zh-CN"/>
              </w:rPr>
              <w:t>10</w:t>
            </w:r>
          </w:p>
        </w:tc>
        <w:tc>
          <w:tcPr>
            <w:tcW w:w="5956" w:type="dxa"/>
            <w:noWrap w:val="0"/>
            <w:vAlign w:val="top"/>
          </w:tcPr>
          <w:p w14:paraId="0EFC2C7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US" w:eastAsia="zh-CN" w:bidi="ar-SA"/>
              </w:rPr>
            </w:pPr>
            <w:r>
              <w:rPr>
                <w:rFonts w:hint="eastAsia" w:cs="Times New Roman"/>
                <w:color w:val="auto"/>
                <w:kern w:val="2"/>
                <w:sz w:val="24"/>
                <w:szCs w:val="24"/>
                <w:highlight w:val="none"/>
                <w:u w:val="none"/>
                <w:vertAlign w:val="baseline"/>
                <w:lang w:val="en-US" w:eastAsia="zh-CN" w:bidi="ar-SA"/>
              </w:rPr>
              <w:t>阿坝县</w:t>
            </w:r>
          </w:p>
        </w:tc>
        <w:tc>
          <w:tcPr>
            <w:tcW w:w="905" w:type="dxa"/>
            <w:noWrap w:val="0"/>
            <w:vAlign w:val="top"/>
          </w:tcPr>
          <w:p w14:paraId="7B8700E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E3B4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A1F771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eastAsia" w:eastAsia="宋体" w:cs="Times New Roman"/>
                <w:color w:val="auto"/>
                <w:sz w:val="24"/>
                <w:szCs w:val="24"/>
                <w:highlight w:val="none"/>
                <w:u w:val="none"/>
                <w:lang w:val="en-US" w:eastAsia="zh-CN"/>
              </w:rPr>
              <w:t>11</w:t>
            </w:r>
          </w:p>
        </w:tc>
        <w:tc>
          <w:tcPr>
            <w:tcW w:w="5956" w:type="dxa"/>
            <w:noWrap w:val="0"/>
            <w:vAlign w:val="top"/>
          </w:tcPr>
          <w:p w14:paraId="2A98E3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US" w:eastAsia="zh-CN" w:bidi="ar-SA"/>
              </w:rPr>
            </w:pPr>
            <w:r>
              <w:rPr>
                <w:rFonts w:hint="eastAsia" w:cs="Times New Roman"/>
                <w:color w:val="auto"/>
                <w:kern w:val="2"/>
                <w:sz w:val="24"/>
                <w:szCs w:val="24"/>
                <w:highlight w:val="none"/>
                <w:u w:val="none"/>
                <w:vertAlign w:val="baseline"/>
                <w:lang w:val="en-US" w:eastAsia="zh-CN" w:bidi="ar-SA"/>
              </w:rPr>
              <w:t>若尔盖县</w:t>
            </w:r>
          </w:p>
        </w:tc>
        <w:tc>
          <w:tcPr>
            <w:tcW w:w="905" w:type="dxa"/>
            <w:noWrap w:val="0"/>
            <w:vAlign w:val="top"/>
          </w:tcPr>
          <w:p w14:paraId="16B56580">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BC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90272A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eastAsia" w:eastAsia="宋体" w:cs="Times New Roman"/>
                <w:color w:val="auto"/>
                <w:sz w:val="24"/>
                <w:szCs w:val="24"/>
                <w:highlight w:val="none"/>
                <w:u w:val="none"/>
                <w:lang w:val="en-US" w:eastAsia="zh-CN"/>
              </w:rPr>
              <w:t>12</w:t>
            </w:r>
          </w:p>
        </w:tc>
        <w:tc>
          <w:tcPr>
            <w:tcW w:w="5956" w:type="dxa"/>
            <w:noWrap w:val="0"/>
            <w:vAlign w:val="top"/>
          </w:tcPr>
          <w:p w14:paraId="5F1D8F9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US" w:eastAsia="zh-CN" w:bidi="ar-SA"/>
              </w:rPr>
            </w:pPr>
            <w:r>
              <w:rPr>
                <w:rFonts w:hint="eastAsia" w:cs="Times New Roman"/>
                <w:color w:val="auto"/>
                <w:kern w:val="2"/>
                <w:sz w:val="24"/>
                <w:szCs w:val="24"/>
                <w:highlight w:val="none"/>
                <w:u w:val="none"/>
                <w:vertAlign w:val="baseline"/>
                <w:lang w:val="en-US" w:eastAsia="zh-CN" w:bidi="ar-SA"/>
              </w:rPr>
              <w:t>红原县</w:t>
            </w:r>
          </w:p>
        </w:tc>
        <w:tc>
          <w:tcPr>
            <w:tcW w:w="905" w:type="dxa"/>
            <w:noWrap w:val="0"/>
            <w:vAlign w:val="top"/>
          </w:tcPr>
          <w:p w14:paraId="0B35991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EB8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9D101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eastAsia" w:eastAsia="宋体" w:cs="Times New Roman"/>
                <w:color w:val="auto"/>
                <w:sz w:val="24"/>
                <w:szCs w:val="24"/>
                <w:highlight w:val="none"/>
                <w:u w:val="none"/>
                <w:lang w:val="en-US" w:eastAsia="zh-CN"/>
              </w:rPr>
              <w:t>13</w:t>
            </w:r>
          </w:p>
        </w:tc>
        <w:tc>
          <w:tcPr>
            <w:tcW w:w="5956" w:type="dxa"/>
            <w:noWrap w:val="0"/>
            <w:vAlign w:val="top"/>
          </w:tcPr>
          <w:p w14:paraId="16F828F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US" w:eastAsia="zh-CN" w:bidi="ar-SA"/>
              </w:rPr>
            </w:pPr>
            <w:r>
              <w:rPr>
                <w:rFonts w:hint="eastAsia" w:cs="Times New Roman"/>
                <w:color w:val="auto"/>
                <w:kern w:val="2"/>
                <w:sz w:val="24"/>
                <w:szCs w:val="24"/>
                <w:highlight w:val="none"/>
                <w:u w:val="none"/>
                <w:vertAlign w:val="baseline"/>
                <w:lang w:val="en-US" w:eastAsia="zh-CN" w:bidi="ar-SA"/>
              </w:rPr>
              <w:t>壤塘县</w:t>
            </w:r>
          </w:p>
        </w:tc>
        <w:tc>
          <w:tcPr>
            <w:tcW w:w="905" w:type="dxa"/>
            <w:noWrap w:val="0"/>
            <w:vAlign w:val="top"/>
          </w:tcPr>
          <w:p w14:paraId="6E9166D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DC5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709A8A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C671CF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1CA761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07C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0AC3F0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DB7BB6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6F4D87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739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02B66E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55A668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192A93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9B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17213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7B71E76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346EFB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64E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4137E1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3A12E7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2493417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E86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3A5B3F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64B1F2E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681796B2">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7BF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A355E5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p>
        </w:tc>
        <w:tc>
          <w:tcPr>
            <w:tcW w:w="5956" w:type="dxa"/>
            <w:noWrap w:val="0"/>
            <w:vAlign w:val="top"/>
          </w:tcPr>
          <w:p w14:paraId="4BAED1E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26DD5DA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3B149EFA">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点位包括市（州）本级、县（市、区）</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72373292">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562E8A4A">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14:paraId="6D878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33" w:type="dxa"/>
            <w:gridSpan w:val="9"/>
            <w:noWrap w:val="0"/>
            <w:vAlign w:val="center"/>
          </w:tcPr>
          <w:p w14:paraId="72F29B04">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6751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8BD081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B3089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rPr>
            </w:pPr>
            <w:r>
              <w:rPr>
                <w:rFonts w:hint="eastAsia" w:eastAsia="宋体" w:cs="Times New Roman"/>
                <w:i w:val="0"/>
                <w:color w:val="000000"/>
                <w:sz w:val="24"/>
                <w:szCs w:val="24"/>
                <w:u w:val="none"/>
                <w:lang w:val="en-US" w:eastAsia="zh-CN"/>
              </w:rPr>
              <w:t>防灾减灾工作经费项目</w:t>
            </w:r>
          </w:p>
        </w:tc>
      </w:tr>
      <w:tr w14:paraId="07D31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099E12D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6992CC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阿坝州林业和草原局</w:t>
            </w:r>
          </w:p>
        </w:tc>
      </w:tr>
      <w:tr w14:paraId="4B0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5CE8789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FAE0A6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662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3359CE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F40859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5202E33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DFDD35F">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76D6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6671E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8B2A8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448E9CB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3456A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EE4F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4360A0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0159F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00A4B0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EB55F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49CF1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因素法与项目法相结合</w:t>
            </w:r>
          </w:p>
        </w:tc>
      </w:tr>
      <w:tr w14:paraId="5523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3E3A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B83E16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155C5F8">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5E80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F55A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22930A0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BCF5094">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2B3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8C85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560C27B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83C7C2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268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5FFB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704840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F0F183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r>
      <w:tr w14:paraId="03B4F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6683EE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1902049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4E1A6C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righ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62D55E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r>
      <w:tr w14:paraId="2B80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70EB1B">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DBE17AC">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573978C">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r>
      <w:tr w14:paraId="59B3E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7A2E14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1E084E9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68FC5EE">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5447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4336C2E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169809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5BCAD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58D1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6E53FBA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开展安全生产及森林草原防火督导检查、宣传、验收等工作。</w:t>
            </w:r>
          </w:p>
        </w:tc>
      </w:tr>
      <w:tr w14:paraId="1022D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3AE2316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9459D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6A805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5EA9BB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6FAD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55370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F7DF9E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74C6F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3492C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6A04B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944C03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C8632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6B65B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DEFCFC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项目数量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94BEA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ascii="宋体" w:hAnsi="宋体" w:eastAsia="宋体" w:cs="宋体"/>
                <w:i w:val="0"/>
                <w:iCs w:val="0"/>
                <w:color w:val="000000"/>
                <w:kern w:val="0"/>
                <w:sz w:val="18"/>
                <w:szCs w:val="18"/>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BDBE51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A6789F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D033F2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77DB1D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lang w:val="en-US"/>
              </w:rPr>
            </w:pPr>
            <w:r>
              <w:rPr>
                <w:rFonts w:hint="eastAsia" w:eastAsia="宋体" w:cs="Times New Roman"/>
                <w:i w:val="0"/>
                <w:iCs w:val="0"/>
                <w:color w:val="000000"/>
                <w:kern w:val="0"/>
                <w:sz w:val="24"/>
                <w:szCs w:val="24"/>
                <w:u w:val="none"/>
                <w:lang w:val="en-US" w:eastAsia="zh-CN" w:bidi="ar"/>
              </w:rPr>
              <w:t>14</w:t>
            </w:r>
          </w:p>
        </w:tc>
      </w:tr>
      <w:tr w14:paraId="77B4E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45CC39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A197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B91A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F3EF279">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50502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2B66A6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107DB5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29B43F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38912E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479A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965F5F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BE8E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7A3DE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C59B13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项目开工率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AF54AC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5BC1AE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F8050A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49D1B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C8EE39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lang w:val="en-US"/>
              </w:rPr>
            </w:pPr>
            <w:r>
              <w:rPr>
                <w:rFonts w:hint="eastAsia" w:ascii="Times New Roman" w:hAnsi="Times New Roman" w:eastAsia="宋体" w:cs="Times New Roman"/>
                <w:i w:val="0"/>
                <w:iCs w:val="0"/>
                <w:color w:val="000000" w:themeColor="text1"/>
                <w:kern w:val="0"/>
                <w:sz w:val="24"/>
                <w:szCs w:val="24"/>
                <w:u w:val="none"/>
                <w:lang w:val="en-US" w:eastAsia="zh-CN" w:bidi="ar"/>
                <w14:textFill>
                  <w14:solidFill>
                    <w14:schemeClr w14:val="tx1"/>
                  </w14:solidFill>
                </w14:textFill>
              </w:rPr>
              <w:t>15</w:t>
            </w:r>
          </w:p>
        </w:tc>
      </w:tr>
      <w:tr w14:paraId="1A48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43788C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EAE5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218F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6EF11B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47EB2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E2173B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94D5AE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3ECB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444DAD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A85A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139C2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E702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8DCB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267270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建设时限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6C9128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1365EE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78E019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2ADD1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C58EB7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r>
      <w:tr w14:paraId="1A1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2DAC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D40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771D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C813E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98E62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6C95CE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9651FE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143D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7A9961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28EF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222DD3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3718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C846CE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1177A1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7A3C60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A878D6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DB5D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A20C3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D52505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1B05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F3F02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04DF5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C59E9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经济效益</w:t>
            </w:r>
          </w:p>
          <w:p w14:paraId="43BF780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828F3BC">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通过减少安全事故发生和森林火灾造成的损失，间接体现经济效益。</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056A60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D55961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F111AEE">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D8B67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358D51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3099C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0BF293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D7CE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8862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F56994">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1C91B9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7BA81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90ADF4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043C2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E29C75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19D1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9FE90B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F2C4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right w:val="single" w:color="000000" w:sz="4" w:space="0"/>
            </w:tcBorders>
            <w:noWrap w:val="0"/>
            <w:vAlign w:val="center"/>
          </w:tcPr>
          <w:p w14:paraId="4202ABC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681FAAC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4C082C4">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保护行业安全级林草资源，改善生态环境。</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C16358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61DDF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C25294">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E4C95B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DDA393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44F0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507913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BD6C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right w:val="single" w:color="000000" w:sz="4" w:space="0"/>
            </w:tcBorders>
            <w:noWrap w:val="0"/>
            <w:vAlign w:val="center"/>
          </w:tcPr>
          <w:p w14:paraId="470ABE7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79B09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709201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DDEDF4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85A77A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1D72BE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BDA377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0C69C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01144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6B72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A64856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A0D654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提高13个县市林草部门安全生产及森林草原火灾综合防控能力。</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19775A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262EA4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优</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BA28AC0">
            <w:pPr>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6B35B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1C7C52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bookmarkStart w:id="0" w:name="_GoBack"/>
            <w:bookmarkEnd w:id="0"/>
          </w:p>
        </w:tc>
      </w:tr>
      <w:tr w14:paraId="0FF0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6666E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tcBorders>
              <w:top w:val="single" w:color="000000" w:sz="4" w:space="0"/>
              <w:left w:val="single" w:color="000000" w:sz="4" w:space="0"/>
              <w:right w:val="single" w:color="000000" w:sz="4" w:space="0"/>
            </w:tcBorders>
            <w:noWrap w:val="0"/>
            <w:vAlign w:val="center"/>
          </w:tcPr>
          <w:p w14:paraId="4121A5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2BB36EF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254D003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2E54D65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395EFFA">
            <w:pPr>
              <w:keepNext w:val="0"/>
              <w:keepLines w:val="0"/>
              <w:widowControl/>
              <w:suppressLineNumbers w:val="0"/>
              <w:jc w:val="both"/>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97860E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3AAFDD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A4D555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F2F92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A39009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A48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FB2458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631D5A3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49A93B9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7A15131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637E48AE">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工作经费</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E0CB106">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03E3A1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3DE3C1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73B0B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7C892B3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19</w:t>
            </w:r>
          </w:p>
        </w:tc>
      </w:tr>
      <w:tr w14:paraId="45207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FD5B1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13801">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67B212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bottom w:val="single" w:color="000000" w:sz="4" w:space="0"/>
              <w:right w:val="single" w:color="000000" w:sz="4" w:space="0"/>
            </w:tcBorders>
            <w:noWrap w:val="0"/>
            <w:vAlign w:val="center"/>
          </w:tcPr>
          <w:p w14:paraId="59C61C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EA026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AE092A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3439E6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F8D31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714483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bl>
    <w:p w14:paraId="285B8B55">
      <w:pPr>
        <w:pStyle w:val="8"/>
        <w:keepNext w:val="0"/>
        <w:keepLines w:val="0"/>
        <w:pageBreakBefore w:val="0"/>
        <w:kinsoku/>
        <w:wordWrap/>
        <w:overflowPunct/>
        <w:topLinePunct w:val="0"/>
        <w:autoSpaceDE/>
        <w:autoSpaceDN/>
        <w:bidi w:val="0"/>
        <w:spacing w:after="0" w:line="578" w:lineRule="exact"/>
        <w:ind w:left="0" w:leftChars="0"/>
        <w:rPr>
          <w:rFonts w:hint="default" w:ascii="黑体" w:hAnsi="黑体" w:eastAsia="黑体" w:cs="黑体"/>
          <w:sz w:val="24"/>
          <w:szCs w:val="24"/>
          <w:highlight w:val="none"/>
          <w:lang w:val="en-US" w:eastAsia="zh-CN"/>
        </w:rPr>
      </w:pPr>
    </w:p>
    <w:p w14:paraId="6E926492">
      <w:pPr>
        <w:rPr>
          <w:rFonts w:hint="default" w:eastAsia="仿宋_GB2312"/>
          <w:lang w:val="en-US" w:eastAsia="zh-CN"/>
        </w:rPr>
      </w:pPr>
    </w:p>
    <w:p w14:paraId="3B822B95">
      <w:pPr>
        <w:rPr>
          <w:rFonts w:hint="default" w:eastAsia="仿宋_GB2312"/>
          <w:lang w:val="en-US" w:eastAsia="zh-CN"/>
        </w:rPr>
      </w:pPr>
    </w:p>
    <w:sectPr>
      <w:footerReference r:id="rId3" w:type="default"/>
      <w:pgSz w:w="11906" w:h="16838"/>
      <w:pgMar w:top="1440" w:right="1797" w:bottom="1440" w:left="179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0B0E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0DA59">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A0DA59">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5NDI1MTVkMmQzYWIwNzFlMjM2YjQxZGFhMWNhMzYifQ=="/>
  </w:docVars>
  <w:rsids>
    <w:rsidRoot w:val="48DF5B09"/>
    <w:rsid w:val="023131A9"/>
    <w:rsid w:val="0B8D0492"/>
    <w:rsid w:val="0F50134D"/>
    <w:rsid w:val="0FD44465"/>
    <w:rsid w:val="133350C2"/>
    <w:rsid w:val="16294378"/>
    <w:rsid w:val="1E6D2B9F"/>
    <w:rsid w:val="21A26717"/>
    <w:rsid w:val="2B4C75CA"/>
    <w:rsid w:val="2BB018EE"/>
    <w:rsid w:val="42B052D1"/>
    <w:rsid w:val="48DF5B09"/>
    <w:rsid w:val="495723CC"/>
    <w:rsid w:val="6E2F317C"/>
    <w:rsid w:val="7524052F"/>
    <w:rsid w:val="75901F81"/>
    <w:rsid w:val="7706409E"/>
    <w:rsid w:val="78C547F2"/>
    <w:rsid w:val="7FAC2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3">
    <w:name w:val="Subtitle"/>
    <w:basedOn w:val="1"/>
    <w:next w:val="1"/>
    <w:qFormat/>
    <w:uiPriority w:val="0"/>
    <w:pPr>
      <w:spacing w:before="240" w:after="60" w:line="312" w:lineRule="auto"/>
      <w:jc w:val="center"/>
      <w:outlineLvl w:val="1"/>
    </w:pPr>
    <w:rPr>
      <w:rFonts w:ascii="Arial" w:hAnsi="Arial" w:cs="Arial"/>
      <w:b/>
      <w:bCs/>
      <w:kern w:val="28"/>
      <w:sz w:val="32"/>
      <w:szCs w:val="32"/>
      <w:lang w:bidi="ar-SA"/>
    </w:rPr>
  </w:style>
  <w:style w:type="paragraph" w:styleId="4">
    <w:name w:val="Body Text Indent"/>
    <w:basedOn w:val="1"/>
    <w:qFormat/>
    <w:uiPriority w:val="0"/>
    <w:pPr>
      <w:spacing w:after="120"/>
      <w:ind w:leftChars="200"/>
    </w:pPr>
    <w:rPr>
      <w:rFonts w:ascii="仿宋_GB2312"/>
      <w:szCs w:val="32"/>
    </w:rPr>
  </w:style>
  <w:style w:type="paragraph" w:styleId="5">
    <w:name w:val="List 2"/>
    <w:basedOn w:val="1"/>
    <w:qFormat/>
    <w:uiPriority w:val="0"/>
    <w:pPr>
      <w:ind w:left="400" w:leftChars="200" w:hanging="200" w:hangingChars="200"/>
    </w:pPr>
  </w:style>
  <w:style w:type="paragraph" w:styleId="6">
    <w:name w:val="footer"/>
    <w:basedOn w:val="1"/>
    <w:unhideWhenUsed/>
    <w:qFormat/>
    <w:uiPriority w:val="99"/>
    <w:pPr>
      <w:tabs>
        <w:tab w:val="center" w:pos="4153"/>
        <w:tab w:val="right" w:pos="8306"/>
      </w:tabs>
      <w:snapToGrid w:val="0"/>
      <w:jc w:val="left"/>
    </w:pPr>
    <w:rPr>
      <w:sz w:val="18"/>
      <w:szCs w:val="18"/>
      <w:lang w:val="zh-CN" w:eastAsia="zh-CN"/>
    </w:rPr>
  </w:style>
  <w:style w:type="paragraph" w:styleId="7">
    <w:name w:val="toc 1"/>
    <w:basedOn w:val="1"/>
    <w:next w:val="1"/>
    <w:qFormat/>
    <w:uiPriority w:val="0"/>
  </w:style>
  <w:style w:type="paragraph" w:styleId="8">
    <w:name w:val="Body Text First Indent 2"/>
    <w:basedOn w:val="4"/>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3030</Words>
  <Characters>3066</Characters>
  <Lines>0</Lines>
  <Paragraphs>0</Paragraphs>
  <TotalTime>64</TotalTime>
  <ScaleCrop>false</ScaleCrop>
  <LinksUpToDate>false</LinksUpToDate>
  <CharactersWithSpaces>3077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2024-07-23T00:40:00Z</dcterms:created>
  <dc:creator>春风暖暖笑意浓</dc:creator>
  <cp:lastModifiedBy>春风暖暖笑意浓</cp:lastModifiedBy>
  <dcterms:modified xsi:type="dcterms:W3CDTF">2025-04-10T03:28:10Z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035AD4E92676449E973F68C42901048B</vt:lpwstr>
  </property>
  <property fmtid="{D5CDD505-2E9C-101B-9397-08002B2CF9AE}" pid="4" name="KSOTemplateDocerSaveRecord">
    <vt:lpwstr>eyJoZGlkIjoiZmEzNWZjOTgxNmEwMWRhYjJmMmYwZGM3ZDU1OTliNjgiLCJ1c2VySWQiOiI1MzU5MTI1ODUifQ==</vt:lpwstr>
  </property>
</Properties>
</file>